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072" w:type="dxa"/>
        <w:tblInd w:w="-905" w:type="dxa"/>
        <w:tblLook w:val="04A0" w:firstRow="1" w:lastRow="0" w:firstColumn="1" w:lastColumn="0" w:noHBand="0" w:noVBand="1"/>
      </w:tblPr>
      <w:tblGrid>
        <w:gridCol w:w="2610"/>
        <w:gridCol w:w="9540"/>
        <w:gridCol w:w="1922"/>
      </w:tblGrid>
      <w:tr w:rsidR="00102FFE" w14:paraId="54046E0F" w14:textId="77777777" w:rsidTr="005726E9">
        <w:tc>
          <w:tcPr>
            <w:tcW w:w="2610" w:type="dxa"/>
            <w:vAlign w:val="center"/>
          </w:tcPr>
          <w:p w14:paraId="0E7936C9" w14:textId="77777777" w:rsidR="00102FFE" w:rsidRPr="00102FFE" w:rsidRDefault="00102FFE" w:rsidP="00102FFE">
            <w:pPr>
              <w:jc w:val="center"/>
              <w:rPr>
                <w:rFonts w:cstheme="minorHAnsi"/>
                <w:b/>
                <w:sz w:val="28"/>
                <w:szCs w:val="28"/>
              </w:rPr>
            </w:pPr>
            <w:r w:rsidRPr="00102FFE">
              <w:rPr>
                <w:rFonts w:cstheme="minorHAnsi"/>
                <w:b/>
                <w:sz w:val="28"/>
                <w:szCs w:val="28"/>
              </w:rPr>
              <w:t>TERM</w:t>
            </w:r>
          </w:p>
        </w:tc>
        <w:tc>
          <w:tcPr>
            <w:tcW w:w="9540" w:type="dxa"/>
          </w:tcPr>
          <w:p w14:paraId="5B37718B" w14:textId="77777777" w:rsidR="00102FFE" w:rsidRPr="00102FFE" w:rsidRDefault="00102FFE" w:rsidP="00102FFE">
            <w:pPr>
              <w:pStyle w:val="Default"/>
              <w:jc w:val="center"/>
              <w:rPr>
                <w:rFonts w:asciiTheme="minorHAnsi" w:hAnsiTheme="minorHAnsi" w:cstheme="minorHAnsi"/>
                <w:b/>
                <w:sz w:val="28"/>
                <w:szCs w:val="28"/>
              </w:rPr>
            </w:pPr>
            <w:r w:rsidRPr="00102FFE">
              <w:rPr>
                <w:rFonts w:asciiTheme="minorHAnsi" w:hAnsiTheme="minorHAnsi" w:cstheme="minorHAnsi"/>
                <w:b/>
                <w:sz w:val="28"/>
                <w:szCs w:val="28"/>
              </w:rPr>
              <w:t>DEFINITION</w:t>
            </w:r>
          </w:p>
        </w:tc>
        <w:tc>
          <w:tcPr>
            <w:tcW w:w="1922" w:type="dxa"/>
            <w:vAlign w:val="center"/>
          </w:tcPr>
          <w:p w14:paraId="790BC7FF" w14:textId="77777777" w:rsidR="00102FFE" w:rsidRPr="00102FFE" w:rsidRDefault="00102FFE" w:rsidP="00102FFE">
            <w:pPr>
              <w:pStyle w:val="Default"/>
              <w:jc w:val="center"/>
              <w:rPr>
                <w:rFonts w:asciiTheme="minorHAnsi" w:hAnsiTheme="minorHAnsi" w:cstheme="minorHAnsi"/>
                <w:b/>
              </w:rPr>
            </w:pPr>
            <w:r w:rsidRPr="00102FFE">
              <w:rPr>
                <w:rFonts w:asciiTheme="minorHAnsi" w:hAnsiTheme="minorHAnsi" w:cstheme="minorHAnsi"/>
                <w:b/>
              </w:rPr>
              <w:t>REFERENCE or STANDARD</w:t>
            </w:r>
          </w:p>
        </w:tc>
      </w:tr>
      <w:tr w:rsidR="00102FFE" w14:paraId="46A31E31" w14:textId="77777777" w:rsidTr="005726E9">
        <w:tc>
          <w:tcPr>
            <w:tcW w:w="2610" w:type="dxa"/>
            <w:vAlign w:val="center"/>
          </w:tcPr>
          <w:p w14:paraId="48FF08FE" w14:textId="77777777" w:rsidR="00102FFE" w:rsidRPr="00102FFE" w:rsidRDefault="00102FFE">
            <w:pPr>
              <w:rPr>
                <w:rFonts w:cstheme="minorHAnsi"/>
              </w:rPr>
            </w:pPr>
            <w:r w:rsidRPr="00102FFE">
              <w:rPr>
                <w:rFonts w:cstheme="minorHAnsi"/>
              </w:rPr>
              <w:t>ALCOA</w:t>
            </w:r>
          </w:p>
        </w:tc>
        <w:tc>
          <w:tcPr>
            <w:tcW w:w="9540" w:type="dxa"/>
          </w:tcPr>
          <w:p w14:paraId="7B08E66A" w14:textId="77777777" w:rsidR="00102FFE" w:rsidRPr="00102FFE" w:rsidRDefault="00102FFE" w:rsidP="00102FFE">
            <w:pPr>
              <w:pStyle w:val="Default"/>
              <w:rPr>
                <w:rFonts w:asciiTheme="minorHAnsi" w:hAnsiTheme="minorHAnsi" w:cstheme="minorHAnsi"/>
                <w:sz w:val="20"/>
                <w:szCs w:val="20"/>
              </w:rPr>
            </w:pPr>
          </w:p>
          <w:p w14:paraId="1F7C7129" w14:textId="77777777" w:rsidR="00102FFE" w:rsidRPr="00BD2CAE" w:rsidRDefault="00102FFE" w:rsidP="00A279AD">
            <w:pPr>
              <w:pStyle w:val="Default"/>
              <w:numPr>
                <w:ilvl w:val="0"/>
                <w:numId w:val="9"/>
              </w:numPr>
              <w:spacing w:after="150"/>
              <w:ind w:left="166" w:hanging="166"/>
              <w:rPr>
                <w:rFonts w:asciiTheme="minorHAnsi" w:hAnsiTheme="minorHAnsi" w:cstheme="minorHAnsi"/>
              </w:rPr>
            </w:pPr>
            <w:r w:rsidRPr="00BD2CAE">
              <w:rPr>
                <w:rFonts w:asciiTheme="minorHAnsi" w:hAnsiTheme="minorHAnsi" w:cstheme="minorHAnsi"/>
                <w:b/>
                <w:bCs/>
              </w:rPr>
              <w:t>Attributable</w:t>
            </w:r>
            <w:r w:rsidRPr="00BD2CAE">
              <w:rPr>
                <w:rFonts w:asciiTheme="minorHAnsi" w:hAnsiTheme="minorHAnsi" w:cstheme="minorHAnsi"/>
              </w:rPr>
              <w:t>: information is captured in the record so that it is uniquely identified as having been executed by the originator of the data (e.g. a person or computer system).</w:t>
            </w:r>
          </w:p>
          <w:p w14:paraId="040E0718" w14:textId="77777777" w:rsidR="00102FFE" w:rsidRPr="00BD2CAE" w:rsidRDefault="00102FFE" w:rsidP="00A279AD">
            <w:pPr>
              <w:pStyle w:val="Default"/>
              <w:spacing w:after="150"/>
              <w:rPr>
                <w:rFonts w:asciiTheme="minorHAnsi" w:hAnsiTheme="minorHAnsi" w:cstheme="minorHAnsi"/>
              </w:rPr>
            </w:pPr>
            <w:r w:rsidRPr="00BD2CAE">
              <w:rPr>
                <w:rFonts w:asciiTheme="minorHAnsi" w:hAnsiTheme="minorHAnsi" w:cstheme="minorHAnsi"/>
              </w:rPr>
              <w:t>•</w:t>
            </w:r>
            <w:r w:rsidRPr="00BD2CAE">
              <w:rPr>
                <w:rFonts w:asciiTheme="minorHAnsi" w:hAnsiTheme="minorHAnsi" w:cstheme="minorHAnsi"/>
                <w:b/>
                <w:bCs/>
              </w:rPr>
              <w:t>Legible, traceable, and permanent</w:t>
            </w:r>
            <w:r w:rsidRPr="00BD2CAE">
              <w:rPr>
                <w:rFonts w:asciiTheme="minorHAnsi" w:hAnsiTheme="minorHAnsi" w:cstheme="minorHAnsi"/>
              </w:rPr>
              <w:t>: data are readable, understandable, and allow a clear picture of the sequencing of steps or events in the record so that all activities conducted can be fully reconstructed by the people reviewing these records at any point during the records retention period.</w:t>
            </w:r>
          </w:p>
          <w:p w14:paraId="2932C4FD" w14:textId="77777777" w:rsidR="00102FFE" w:rsidRPr="00BD2CAE" w:rsidRDefault="00102FFE" w:rsidP="00A279AD">
            <w:pPr>
              <w:pStyle w:val="Default"/>
              <w:spacing w:after="150"/>
              <w:rPr>
                <w:rFonts w:asciiTheme="minorHAnsi" w:hAnsiTheme="minorHAnsi" w:cstheme="minorHAnsi"/>
              </w:rPr>
            </w:pPr>
            <w:r w:rsidRPr="00BD2CAE">
              <w:rPr>
                <w:rFonts w:asciiTheme="minorHAnsi" w:hAnsiTheme="minorHAnsi" w:cstheme="minorHAnsi"/>
              </w:rPr>
              <w:t>•</w:t>
            </w:r>
            <w:r w:rsidRPr="00BD2CAE">
              <w:rPr>
                <w:rFonts w:asciiTheme="minorHAnsi" w:hAnsiTheme="minorHAnsi" w:cstheme="minorHAnsi"/>
                <w:b/>
                <w:bCs/>
              </w:rPr>
              <w:t>Contemporaneous</w:t>
            </w:r>
            <w:r w:rsidRPr="00BD2CAE">
              <w:rPr>
                <w:rFonts w:asciiTheme="minorHAnsi" w:hAnsiTheme="minorHAnsi" w:cstheme="minorHAnsi"/>
              </w:rPr>
              <w:t>: recorded at the time data are generated or observed.</w:t>
            </w:r>
          </w:p>
          <w:p w14:paraId="1BBBEA44" w14:textId="77777777" w:rsidR="00102FFE" w:rsidRPr="00BD2CAE" w:rsidRDefault="00102FFE" w:rsidP="008B084C">
            <w:pPr>
              <w:pStyle w:val="Default"/>
              <w:rPr>
                <w:rFonts w:asciiTheme="minorHAnsi" w:hAnsiTheme="minorHAnsi" w:cstheme="minorHAnsi"/>
              </w:rPr>
            </w:pPr>
            <w:r w:rsidRPr="00BD2CAE">
              <w:rPr>
                <w:rFonts w:asciiTheme="minorHAnsi" w:hAnsiTheme="minorHAnsi" w:cstheme="minorHAnsi"/>
              </w:rPr>
              <w:t>•</w:t>
            </w:r>
            <w:r w:rsidRPr="00BD2CAE">
              <w:rPr>
                <w:rFonts w:asciiTheme="minorHAnsi" w:hAnsiTheme="minorHAnsi" w:cstheme="minorHAnsi"/>
                <w:b/>
                <w:bCs/>
              </w:rPr>
              <w:t>Original (or “True Copy”)</w:t>
            </w:r>
            <w:r w:rsidRPr="00BD2CAE">
              <w:rPr>
                <w:rFonts w:asciiTheme="minorHAnsi" w:hAnsiTheme="minorHAnsi" w:cstheme="minorHAnsi"/>
              </w:rPr>
              <w:t>: data in the format in which it was originally generated, preserving the integrity (accuracy, completeness, content and meaning) of the record.</w:t>
            </w:r>
          </w:p>
          <w:p w14:paraId="1316E9B4" w14:textId="77777777" w:rsidR="00102FFE" w:rsidRPr="00BD2CAE" w:rsidRDefault="00102FFE" w:rsidP="00102FFE">
            <w:pPr>
              <w:pStyle w:val="Default"/>
              <w:rPr>
                <w:rFonts w:asciiTheme="minorHAnsi" w:hAnsiTheme="minorHAnsi" w:cstheme="minorHAnsi"/>
              </w:rPr>
            </w:pPr>
            <w:r w:rsidRPr="00BD2CAE">
              <w:rPr>
                <w:rFonts w:asciiTheme="minorHAnsi" w:hAnsiTheme="minorHAnsi" w:cstheme="minorHAnsi"/>
              </w:rPr>
              <w:t>World Health Organization: Original data include the first or source capture of data or information and all subsequent data required to fully reconstruct the conduct of the activity</w:t>
            </w:r>
          </w:p>
          <w:p w14:paraId="71105E4D" w14:textId="77777777" w:rsidR="00102FFE" w:rsidRPr="00BD2CAE" w:rsidRDefault="00102FFE" w:rsidP="00102FFE">
            <w:pPr>
              <w:pStyle w:val="Default"/>
              <w:rPr>
                <w:rFonts w:asciiTheme="minorHAnsi" w:hAnsiTheme="minorHAnsi" w:cstheme="minorHAnsi"/>
              </w:rPr>
            </w:pPr>
            <w:r w:rsidRPr="00BD2CAE">
              <w:rPr>
                <w:rFonts w:asciiTheme="minorHAnsi" w:hAnsiTheme="minorHAnsi" w:cstheme="minorHAnsi"/>
              </w:rPr>
              <w:t>•</w:t>
            </w:r>
            <w:r w:rsidRPr="00BD2CAE">
              <w:rPr>
                <w:rFonts w:asciiTheme="minorHAnsi" w:hAnsiTheme="minorHAnsi" w:cstheme="minorHAnsi"/>
                <w:b/>
                <w:bCs/>
              </w:rPr>
              <w:t>Accurate</w:t>
            </w:r>
            <w:r w:rsidRPr="00BD2CAE">
              <w:rPr>
                <w:rFonts w:asciiTheme="minorHAnsi" w:hAnsiTheme="minorHAnsi" w:cstheme="minorHAnsi"/>
              </w:rPr>
              <w:t>: data are correct, truthful, complete, valid and reliable.</w:t>
            </w:r>
          </w:p>
          <w:p w14:paraId="1BFEADDB" w14:textId="77777777" w:rsidR="00102FFE" w:rsidRPr="00102FFE" w:rsidRDefault="00102FFE">
            <w:pPr>
              <w:rPr>
                <w:rFonts w:cstheme="minorHAnsi"/>
                <w:sz w:val="20"/>
                <w:szCs w:val="20"/>
              </w:rPr>
            </w:pPr>
          </w:p>
        </w:tc>
        <w:tc>
          <w:tcPr>
            <w:tcW w:w="1922" w:type="dxa"/>
            <w:vAlign w:val="center"/>
          </w:tcPr>
          <w:p w14:paraId="14606408" w14:textId="77777777" w:rsidR="00102FFE" w:rsidRDefault="00102FFE" w:rsidP="00102FFE">
            <w:pPr>
              <w:pStyle w:val="Default"/>
              <w:jc w:val="center"/>
              <w:rPr>
                <w:rFonts w:asciiTheme="minorHAnsi" w:hAnsiTheme="minorHAnsi" w:cstheme="minorHAnsi"/>
                <w:b/>
              </w:rPr>
            </w:pPr>
            <w:r w:rsidRPr="00AF3DED">
              <w:rPr>
                <w:rFonts w:asciiTheme="minorHAnsi" w:hAnsiTheme="minorHAnsi" w:cstheme="minorHAnsi"/>
                <w:b/>
              </w:rPr>
              <w:t>FDA</w:t>
            </w:r>
          </w:p>
          <w:p w14:paraId="50EA4698" w14:textId="77777777" w:rsidR="008B084C" w:rsidRPr="00AF3DED" w:rsidRDefault="008B084C" w:rsidP="00102FFE">
            <w:pPr>
              <w:pStyle w:val="Default"/>
              <w:jc w:val="center"/>
              <w:rPr>
                <w:rFonts w:asciiTheme="minorHAnsi" w:hAnsiTheme="minorHAnsi" w:cstheme="minorHAnsi"/>
                <w:b/>
              </w:rPr>
            </w:pPr>
            <w:r>
              <w:rPr>
                <w:rFonts w:asciiTheme="minorHAnsi" w:hAnsiTheme="minorHAnsi" w:cstheme="minorHAnsi"/>
                <w:b/>
              </w:rPr>
              <w:t>WHO</w:t>
            </w:r>
          </w:p>
        </w:tc>
      </w:tr>
      <w:tr w:rsidR="008B084C" w14:paraId="54036546" w14:textId="77777777" w:rsidTr="005726E9">
        <w:tc>
          <w:tcPr>
            <w:tcW w:w="2610" w:type="dxa"/>
            <w:vAlign w:val="center"/>
          </w:tcPr>
          <w:p w14:paraId="7ACA29FE" w14:textId="77777777" w:rsidR="008B084C" w:rsidRPr="00102FFE" w:rsidRDefault="008B084C" w:rsidP="008B084C">
            <w:pPr>
              <w:rPr>
                <w:rFonts w:cstheme="minorHAnsi"/>
                <w:sz w:val="24"/>
                <w:szCs w:val="24"/>
              </w:rPr>
            </w:pPr>
            <w:r w:rsidRPr="00102FFE">
              <w:rPr>
                <w:rFonts w:cstheme="minorHAnsi"/>
                <w:bCs/>
                <w:sz w:val="24"/>
                <w:szCs w:val="24"/>
              </w:rPr>
              <w:t>Data Integrity</w:t>
            </w:r>
          </w:p>
        </w:tc>
        <w:tc>
          <w:tcPr>
            <w:tcW w:w="9540" w:type="dxa"/>
          </w:tcPr>
          <w:p w14:paraId="38BA0091" w14:textId="77777777" w:rsidR="008B084C" w:rsidRPr="00102FFE" w:rsidRDefault="008B084C" w:rsidP="008B084C">
            <w:pPr>
              <w:pStyle w:val="Default"/>
              <w:rPr>
                <w:rFonts w:asciiTheme="minorHAnsi" w:hAnsiTheme="minorHAnsi" w:cstheme="minorHAnsi"/>
              </w:rPr>
            </w:pPr>
            <w:r>
              <w:rPr>
                <w:rFonts w:asciiTheme="minorHAnsi" w:hAnsiTheme="minorHAnsi" w:cstheme="minorHAnsi"/>
              </w:rPr>
              <w:t>T</w:t>
            </w:r>
            <w:r w:rsidRPr="00102FFE">
              <w:rPr>
                <w:rFonts w:asciiTheme="minorHAnsi" w:hAnsiTheme="minorHAnsi" w:cstheme="minorHAnsi"/>
              </w:rPr>
              <w:t>he extent to which all data are complete, consistent</w:t>
            </w:r>
            <w:r>
              <w:rPr>
                <w:rFonts w:asciiTheme="minorHAnsi" w:hAnsiTheme="minorHAnsi" w:cstheme="minorHAnsi"/>
              </w:rPr>
              <w:t>,</w:t>
            </w:r>
            <w:r w:rsidRPr="00102FFE">
              <w:rPr>
                <w:rFonts w:asciiTheme="minorHAnsi" w:hAnsiTheme="minorHAnsi" w:cstheme="minorHAnsi"/>
              </w:rPr>
              <w:t xml:space="preserve"> accurate </w:t>
            </w:r>
            <w:r>
              <w:rPr>
                <w:rFonts w:asciiTheme="minorHAnsi" w:hAnsiTheme="minorHAnsi" w:cstheme="minorHAnsi"/>
              </w:rPr>
              <w:t xml:space="preserve">and traceable </w:t>
            </w:r>
            <w:r w:rsidRPr="00102FFE">
              <w:rPr>
                <w:rFonts w:asciiTheme="minorHAnsi" w:hAnsiTheme="minorHAnsi" w:cstheme="minorHAnsi"/>
              </w:rPr>
              <w:t xml:space="preserve">throughout the data lifecycle. </w:t>
            </w:r>
          </w:p>
          <w:p w14:paraId="52B487ED" w14:textId="77777777" w:rsidR="008B084C" w:rsidRPr="00102FFE" w:rsidRDefault="008B084C" w:rsidP="001C641C">
            <w:pPr>
              <w:pStyle w:val="Default"/>
              <w:numPr>
                <w:ilvl w:val="0"/>
                <w:numId w:val="3"/>
              </w:numPr>
              <w:spacing w:after="74"/>
              <w:ind w:left="706" w:hanging="270"/>
              <w:rPr>
                <w:rFonts w:asciiTheme="minorHAnsi" w:hAnsiTheme="minorHAnsi" w:cstheme="minorHAnsi"/>
              </w:rPr>
            </w:pPr>
            <w:r w:rsidRPr="00102FFE">
              <w:rPr>
                <w:rFonts w:asciiTheme="minorHAnsi" w:hAnsiTheme="minorHAnsi" w:cstheme="minorHAnsi"/>
              </w:rPr>
              <w:t>From initial data generation and recording through processing (including transformation or migration), use, retention, archiving, retrieval and destruction</w:t>
            </w:r>
            <w:r>
              <w:rPr>
                <w:rFonts w:asciiTheme="minorHAnsi" w:hAnsiTheme="minorHAnsi" w:cstheme="minorHAnsi"/>
              </w:rPr>
              <w:t>;</w:t>
            </w:r>
          </w:p>
          <w:p w14:paraId="72CF7359" w14:textId="77777777" w:rsidR="008B084C" w:rsidRDefault="008B084C" w:rsidP="001C641C">
            <w:pPr>
              <w:pStyle w:val="Default"/>
              <w:numPr>
                <w:ilvl w:val="0"/>
                <w:numId w:val="3"/>
              </w:numPr>
              <w:ind w:left="706" w:hanging="270"/>
              <w:rPr>
                <w:rFonts w:asciiTheme="minorHAnsi" w:hAnsiTheme="minorHAnsi" w:cstheme="minorHAnsi"/>
              </w:rPr>
            </w:pPr>
            <w:r w:rsidRPr="00102FFE">
              <w:rPr>
                <w:rFonts w:asciiTheme="minorHAnsi" w:hAnsiTheme="minorHAnsi" w:cstheme="minorHAnsi"/>
              </w:rPr>
              <w:t>Applies to paper and electronic data and records, within the scope of a quality management system</w:t>
            </w:r>
          </w:p>
          <w:p w14:paraId="1B891EE3" w14:textId="77777777" w:rsidR="008B084C" w:rsidRDefault="008B084C" w:rsidP="00593674">
            <w:pPr>
              <w:pStyle w:val="Default"/>
              <w:numPr>
                <w:ilvl w:val="0"/>
                <w:numId w:val="3"/>
              </w:numPr>
              <w:ind w:left="706" w:hanging="270"/>
              <w:rPr>
                <w:rFonts w:asciiTheme="minorHAnsi" w:hAnsiTheme="minorHAnsi" w:cstheme="minorHAnsi"/>
              </w:rPr>
            </w:pPr>
            <w:r>
              <w:rPr>
                <w:rFonts w:asciiTheme="minorHAnsi" w:hAnsiTheme="minorHAnsi" w:cstheme="minorHAnsi"/>
              </w:rPr>
              <w:t>Assumes systems and /or equipment (balances, and analytical devise</w:t>
            </w:r>
            <w:r w:rsidR="004B1C98">
              <w:rPr>
                <w:rFonts w:asciiTheme="minorHAnsi" w:hAnsiTheme="minorHAnsi" w:cstheme="minorHAnsi"/>
              </w:rPr>
              <w:t>s</w:t>
            </w:r>
            <w:r>
              <w:rPr>
                <w:rFonts w:asciiTheme="minorHAnsi" w:hAnsiTheme="minorHAnsi" w:cstheme="minorHAnsi"/>
              </w:rPr>
              <w:t xml:space="preserve">) used for the generation of original data have been appropriately calibrated, maintained and/or verified to be accurate. </w:t>
            </w:r>
          </w:p>
          <w:p w14:paraId="7672A02F" w14:textId="77777777" w:rsidR="000469C8" w:rsidRPr="000469C8" w:rsidRDefault="000469C8" w:rsidP="000469C8">
            <w:pPr>
              <w:autoSpaceDE w:val="0"/>
              <w:autoSpaceDN w:val="0"/>
              <w:adjustRightInd w:val="0"/>
              <w:rPr>
                <w:rFonts w:ascii="Arial" w:hAnsi="Arial" w:cs="Arial"/>
                <w:color w:val="000000"/>
                <w:sz w:val="24"/>
                <w:szCs w:val="24"/>
              </w:rPr>
            </w:pPr>
          </w:p>
          <w:p w14:paraId="26783458" w14:textId="77777777" w:rsidR="009A4F4A" w:rsidRPr="009A4F4A" w:rsidRDefault="009A4F4A" w:rsidP="009A4F4A">
            <w:pPr>
              <w:autoSpaceDE w:val="0"/>
              <w:autoSpaceDN w:val="0"/>
              <w:adjustRightInd w:val="0"/>
              <w:spacing w:after="151"/>
              <w:rPr>
                <w:rFonts w:cstheme="minorHAnsi"/>
                <w:color w:val="000000"/>
                <w:sz w:val="24"/>
                <w:szCs w:val="24"/>
              </w:rPr>
            </w:pPr>
            <w:r>
              <w:rPr>
                <w:rFonts w:cstheme="minorHAnsi"/>
                <w:color w:val="000000"/>
                <w:sz w:val="24"/>
                <w:szCs w:val="24"/>
              </w:rPr>
              <w:t>For paper based data:</w:t>
            </w:r>
          </w:p>
          <w:p w14:paraId="6C7CE4D0" w14:textId="77777777" w:rsidR="000469C8" w:rsidRPr="000469C8" w:rsidRDefault="000469C8" w:rsidP="000469C8">
            <w:pPr>
              <w:pStyle w:val="ListParagraph"/>
              <w:numPr>
                <w:ilvl w:val="0"/>
                <w:numId w:val="3"/>
              </w:numPr>
              <w:autoSpaceDE w:val="0"/>
              <w:autoSpaceDN w:val="0"/>
              <w:adjustRightInd w:val="0"/>
              <w:spacing w:after="151"/>
              <w:ind w:left="706"/>
              <w:rPr>
                <w:rFonts w:cstheme="minorHAnsi"/>
                <w:color w:val="000000"/>
                <w:sz w:val="24"/>
                <w:szCs w:val="24"/>
              </w:rPr>
            </w:pPr>
            <w:r w:rsidRPr="000469C8">
              <w:rPr>
                <w:rFonts w:cstheme="minorHAnsi"/>
                <w:iCs/>
                <w:color w:val="000000"/>
                <w:sz w:val="24"/>
                <w:szCs w:val="24"/>
              </w:rPr>
              <w:t xml:space="preserve">Handwritten </w:t>
            </w:r>
            <w:r w:rsidR="009A4F4A">
              <w:rPr>
                <w:rFonts w:cstheme="minorHAnsi"/>
                <w:iCs/>
                <w:color w:val="000000"/>
                <w:sz w:val="24"/>
                <w:szCs w:val="24"/>
              </w:rPr>
              <w:t xml:space="preserve">data </w:t>
            </w:r>
            <w:r w:rsidRPr="000469C8">
              <w:rPr>
                <w:rFonts w:cstheme="minorHAnsi"/>
                <w:iCs/>
                <w:color w:val="000000"/>
                <w:sz w:val="24"/>
                <w:szCs w:val="24"/>
              </w:rPr>
              <w:t xml:space="preserve">entries should be made in clear, legible, indelible way. </w:t>
            </w:r>
          </w:p>
          <w:p w14:paraId="0E62FF65" w14:textId="77777777" w:rsidR="000469C8" w:rsidRPr="000469C8" w:rsidRDefault="000469C8" w:rsidP="000469C8">
            <w:pPr>
              <w:pStyle w:val="ListParagraph"/>
              <w:numPr>
                <w:ilvl w:val="0"/>
                <w:numId w:val="3"/>
              </w:numPr>
              <w:autoSpaceDE w:val="0"/>
              <w:autoSpaceDN w:val="0"/>
              <w:adjustRightInd w:val="0"/>
              <w:spacing w:after="151"/>
              <w:ind w:left="706"/>
              <w:rPr>
                <w:rFonts w:cstheme="minorHAnsi"/>
                <w:color w:val="000000"/>
                <w:sz w:val="24"/>
                <w:szCs w:val="24"/>
              </w:rPr>
            </w:pPr>
            <w:r w:rsidRPr="000469C8">
              <w:rPr>
                <w:rFonts w:cstheme="minorHAnsi"/>
                <w:iCs/>
                <w:color w:val="000000"/>
                <w:sz w:val="24"/>
                <w:szCs w:val="24"/>
              </w:rPr>
              <w:t xml:space="preserve">Records should be made or completed at the time each action is taken and in such a way that all significant activities concerning the manufacture of medicinal products are traceable.  </w:t>
            </w:r>
          </w:p>
          <w:p w14:paraId="06EC74AD" w14:textId="77777777" w:rsidR="000469C8" w:rsidRPr="000469C8" w:rsidRDefault="000469C8" w:rsidP="000469C8">
            <w:pPr>
              <w:pStyle w:val="ListParagraph"/>
              <w:numPr>
                <w:ilvl w:val="0"/>
                <w:numId w:val="3"/>
              </w:numPr>
              <w:autoSpaceDE w:val="0"/>
              <w:autoSpaceDN w:val="0"/>
              <w:adjustRightInd w:val="0"/>
              <w:ind w:left="706"/>
              <w:rPr>
                <w:rFonts w:cstheme="minorHAnsi"/>
                <w:color w:val="000000"/>
                <w:sz w:val="24"/>
                <w:szCs w:val="24"/>
              </w:rPr>
            </w:pPr>
            <w:r w:rsidRPr="000469C8">
              <w:rPr>
                <w:rFonts w:cstheme="minorHAnsi"/>
                <w:iCs/>
                <w:color w:val="000000"/>
                <w:sz w:val="24"/>
                <w:szCs w:val="24"/>
              </w:rPr>
              <w:t>Any alteration made to the entry on a document should be signed and dated; the alteration should permit the reading of the original information. Where appropriate, the reason for the alteration should be recorded.</w:t>
            </w:r>
          </w:p>
          <w:p w14:paraId="3844C00E" w14:textId="77777777" w:rsidR="000469C8" w:rsidRPr="00593674" w:rsidRDefault="000469C8" w:rsidP="000469C8">
            <w:pPr>
              <w:pStyle w:val="Default"/>
              <w:ind w:left="706"/>
              <w:rPr>
                <w:rFonts w:asciiTheme="minorHAnsi" w:hAnsiTheme="minorHAnsi" w:cstheme="minorHAnsi"/>
              </w:rPr>
            </w:pPr>
          </w:p>
        </w:tc>
        <w:tc>
          <w:tcPr>
            <w:tcW w:w="1922" w:type="dxa"/>
            <w:vAlign w:val="center"/>
          </w:tcPr>
          <w:p w14:paraId="40889D32" w14:textId="77777777" w:rsidR="008B084C" w:rsidRPr="00AF3DED" w:rsidRDefault="008B084C" w:rsidP="008B084C">
            <w:pPr>
              <w:pStyle w:val="Default"/>
              <w:jc w:val="center"/>
              <w:rPr>
                <w:rFonts w:asciiTheme="minorHAnsi" w:hAnsiTheme="minorHAnsi" w:cstheme="minorHAnsi"/>
                <w:b/>
              </w:rPr>
            </w:pPr>
            <w:r w:rsidRPr="00AF3DED">
              <w:rPr>
                <w:rFonts w:asciiTheme="minorHAnsi" w:hAnsiTheme="minorHAnsi" w:cstheme="minorHAnsi"/>
                <w:b/>
              </w:rPr>
              <w:lastRenderedPageBreak/>
              <w:t>FDA-EPA-</w:t>
            </w:r>
            <w:r>
              <w:rPr>
                <w:rFonts w:asciiTheme="minorHAnsi" w:hAnsiTheme="minorHAnsi" w:cstheme="minorHAnsi"/>
                <w:b/>
              </w:rPr>
              <w:t>OECD</w:t>
            </w:r>
            <w:r w:rsidRPr="00AF3DED">
              <w:rPr>
                <w:rFonts w:asciiTheme="minorHAnsi" w:hAnsiTheme="minorHAnsi" w:cstheme="minorHAnsi"/>
                <w:b/>
              </w:rPr>
              <w:t xml:space="preserve"> MHRA</w:t>
            </w:r>
            <w:r>
              <w:rPr>
                <w:rFonts w:asciiTheme="minorHAnsi" w:hAnsiTheme="minorHAnsi" w:cstheme="minorHAnsi"/>
                <w:b/>
              </w:rPr>
              <w:t xml:space="preserve">, </w:t>
            </w:r>
            <w:r w:rsidRPr="00AF3DED">
              <w:rPr>
                <w:rFonts w:asciiTheme="minorHAnsi" w:hAnsiTheme="minorHAnsi" w:cstheme="minorHAnsi"/>
                <w:b/>
              </w:rPr>
              <w:t>ISO 9001, PDA, WHO</w:t>
            </w:r>
          </w:p>
        </w:tc>
      </w:tr>
      <w:tr w:rsidR="00D22D53" w14:paraId="306138FB" w14:textId="77777777" w:rsidTr="005726E9">
        <w:tc>
          <w:tcPr>
            <w:tcW w:w="2610" w:type="dxa"/>
            <w:vAlign w:val="center"/>
          </w:tcPr>
          <w:p w14:paraId="21510DAA" w14:textId="77777777" w:rsidR="00D22D53" w:rsidRDefault="00D22D53" w:rsidP="001C641C">
            <w:r>
              <w:t xml:space="preserve">Design Controls </w:t>
            </w:r>
          </w:p>
        </w:tc>
        <w:tc>
          <w:tcPr>
            <w:tcW w:w="9540" w:type="dxa"/>
          </w:tcPr>
          <w:p w14:paraId="3D86076D" w14:textId="77777777" w:rsidR="00D22D53" w:rsidRPr="00D22D53" w:rsidRDefault="00D22D53" w:rsidP="00D22D53">
            <w:pPr>
              <w:autoSpaceDE w:val="0"/>
              <w:autoSpaceDN w:val="0"/>
              <w:adjustRightInd w:val="0"/>
              <w:rPr>
                <w:rFonts w:cstheme="minorHAnsi"/>
                <w:sz w:val="24"/>
                <w:szCs w:val="24"/>
              </w:rPr>
            </w:pPr>
            <w:r w:rsidRPr="00D22D53">
              <w:rPr>
                <w:rFonts w:cstheme="minorHAnsi"/>
                <w:sz w:val="24"/>
                <w:szCs w:val="24"/>
              </w:rPr>
              <w:t>Design controls are an interrelated set of practices and procedures that are incorporated</w:t>
            </w:r>
          </w:p>
          <w:p w14:paraId="59D7C42D" w14:textId="77777777" w:rsidR="00D22D53" w:rsidRPr="00D22D53" w:rsidRDefault="00D22D53" w:rsidP="00D22D53">
            <w:pPr>
              <w:autoSpaceDE w:val="0"/>
              <w:autoSpaceDN w:val="0"/>
              <w:adjustRightInd w:val="0"/>
              <w:rPr>
                <w:rFonts w:cstheme="minorHAnsi"/>
                <w:sz w:val="24"/>
                <w:szCs w:val="24"/>
              </w:rPr>
            </w:pPr>
            <w:r w:rsidRPr="00D22D53">
              <w:rPr>
                <w:rFonts w:cstheme="minorHAnsi"/>
                <w:sz w:val="24"/>
                <w:szCs w:val="24"/>
              </w:rPr>
              <w:t>into the design and development process, i.e., a system of checks and balances. Design</w:t>
            </w:r>
          </w:p>
          <w:p w14:paraId="458DDB8C" w14:textId="77777777" w:rsidR="00D22D53" w:rsidRPr="00D22D53" w:rsidRDefault="00D22D53" w:rsidP="00D22D53">
            <w:pPr>
              <w:autoSpaceDE w:val="0"/>
              <w:autoSpaceDN w:val="0"/>
              <w:adjustRightInd w:val="0"/>
              <w:rPr>
                <w:rFonts w:cstheme="minorHAnsi"/>
                <w:sz w:val="24"/>
                <w:szCs w:val="24"/>
              </w:rPr>
            </w:pPr>
            <w:r w:rsidRPr="00D22D53">
              <w:rPr>
                <w:rFonts w:cstheme="minorHAnsi"/>
                <w:sz w:val="24"/>
                <w:szCs w:val="24"/>
              </w:rPr>
              <w:t>controls make systematic assessment of the design an integral part of development. As a</w:t>
            </w:r>
          </w:p>
          <w:p w14:paraId="6E2C6498" w14:textId="77777777" w:rsidR="00D22D53" w:rsidRPr="00D22D53" w:rsidRDefault="00D22D53" w:rsidP="00D22D53">
            <w:pPr>
              <w:autoSpaceDE w:val="0"/>
              <w:autoSpaceDN w:val="0"/>
              <w:adjustRightInd w:val="0"/>
              <w:rPr>
                <w:rFonts w:cstheme="minorHAnsi"/>
                <w:sz w:val="24"/>
                <w:szCs w:val="24"/>
              </w:rPr>
            </w:pPr>
            <w:r w:rsidRPr="00D22D53">
              <w:rPr>
                <w:rFonts w:cstheme="minorHAnsi"/>
                <w:sz w:val="24"/>
                <w:szCs w:val="24"/>
              </w:rPr>
              <w:t>result, deficiencies in design input requirements, and discrepancies between the proposed</w:t>
            </w:r>
          </w:p>
          <w:p w14:paraId="381C1A26" w14:textId="77777777" w:rsidR="00D22D53" w:rsidRPr="00D22D53" w:rsidRDefault="00D22D53" w:rsidP="00D22D53">
            <w:pPr>
              <w:autoSpaceDE w:val="0"/>
              <w:autoSpaceDN w:val="0"/>
              <w:adjustRightInd w:val="0"/>
              <w:rPr>
                <w:rFonts w:cstheme="minorHAnsi"/>
                <w:sz w:val="24"/>
                <w:szCs w:val="24"/>
              </w:rPr>
            </w:pPr>
            <w:r w:rsidRPr="00D22D53">
              <w:rPr>
                <w:rFonts w:cstheme="minorHAnsi"/>
                <w:sz w:val="24"/>
                <w:szCs w:val="24"/>
              </w:rPr>
              <w:t>designs and requirements, are made evident and corrected earlier in the development</w:t>
            </w:r>
          </w:p>
          <w:p w14:paraId="2923F242" w14:textId="77777777" w:rsidR="00D22D53" w:rsidRPr="00D22D53" w:rsidRDefault="00D22D53" w:rsidP="00D22D53">
            <w:pPr>
              <w:autoSpaceDE w:val="0"/>
              <w:autoSpaceDN w:val="0"/>
              <w:adjustRightInd w:val="0"/>
              <w:rPr>
                <w:rFonts w:cstheme="minorHAnsi"/>
                <w:sz w:val="24"/>
                <w:szCs w:val="24"/>
              </w:rPr>
            </w:pPr>
            <w:r w:rsidRPr="00D22D53">
              <w:rPr>
                <w:rFonts w:cstheme="minorHAnsi"/>
                <w:sz w:val="24"/>
                <w:szCs w:val="24"/>
              </w:rPr>
              <w:t>process. Design controls increase the likelihood that the design transferred to production</w:t>
            </w:r>
          </w:p>
          <w:p w14:paraId="63118845" w14:textId="77777777" w:rsidR="00D22D53" w:rsidRPr="00D22D53" w:rsidRDefault="00D22D53" w:rsidP="00D22D53">
            <w:pPr>
              <w:rPr>
                <w:rFonts w:cstheme="minorHAnsi"/>
              </w:rPr>
            </w:pPr>
            <w:r w:rsidRPr="00D22D53">
              <w:rPr>
                <w:rFonts w:cstheme="minorHAnsi"/>
                <w:sz w:val="24"/>
                <w:szCs w:val="24"/>
              </w:rPr>
              <w:t>will translate into a device that is appropriate for its intended use.</w:t>
            </w:r>
            <w:r w:rsidR="005600D2">
              <w:rPr>
                <w:rFonts w:cstheme="minorHAnsi"/>
                <w:sz w:val="24"/>
                <w:szCs w:val="24"/>
              </w:rPr>
              <w:t xml:space="preserve"> </w:t>
            </w:r>
          </w:p>
        </w:tc>
        <w:tc>
          <w:tcPr>
            <w:tcW w:w="1922" w:type="dxa"/>
            <w:vAlign w:val="center"/>
          </w:tcPr>
          <w:p w14:paraId="32A5A50C" w14:textId="77777777" w:rsidR="005600D2" w:rsidRDefault="005600D2" w:rsidP="005600D2">
            <w:pPr>
              <w:jc w:val="center"/>
              <w:rPr>
                <w:b/>
              </w:rPr>
            </w:pPr>
            <w:r>
              <w:rPr>
                <w:b/>
              </w:rPr>
              <w:t>FDA Design Control Guidance 1997</w:t>
            </w:r>
          </w:p>
          <w:p w14:paraId="17B97901" w14:textId="77777777" w:rsidR="00D22D53" w:rsidRDefault="00D22D53" w:rsidP="001C641C">
            <w:pPr>
              <w:jc w:val="center"/>
              <w:rPr>
                <w:b/>
              </w:rPr>
            </w:pPr>
          </w:p>
          <w:p w14:paraId="4163E551" w14:textId="77777777" w:rsidR="005600D2" w:rsidRPr="00497C2C" w:rsidRDefault="005600D2" w:rsidP="001C641C">
            <w:pPr>
              <w:jc w:val="center"/>
              <w:rPr>
                <w:b/>
              </w:rPr>
            </w:pPr>
            <w:r>
              <w:rPr>
                <w:b/>
              </w:rPr>
              <w:t>21CFR820.30</w:t>
            </w:r>
          </w:p>
        </w:tc>
      </w:tr>
      <w:tr w:rsidR="001C641C" w14:paraId="54D322F9" w14:textId="77777777" w:rsidTr="005726E9">
        <w:tc>
          <w:tcPr>
            <w:tcW w:w="2610" w:type="dxa"/>
            <w:vAlign w:val="center"/>
          </w:tcPr>
          <w:p w14:paraId="1CD3C5E2" w14:textId="77777777" w:rsidR="001C641C" w:rsidRDefault="001C641C" w:rsidP="001C641C">
            <w:r>
              <w:t>Experiment Requirements Document  (ERD)</w:t>
            </w:r>
          </w:p>
        </w:tc>
        <w:tc>
          <w:tcPr>
            <w:tcW w:w="9540" w:type="dxa"/>
          </w:tcPr>
          <w:p w14:paraId="035B3AA2" w14:textId="77777777" w:rsidR="001C641C" w:rsidRDefault="001C641C" w:rsidP="001C641C">
            <w:r>
              <w:t xml:space="preserve">A living document that is  developed by the investigator team  as the source for  communication for all key study stakeholders.  The ERD is  the source necessary to help meet the objectives of a  specific study through careful planning.  The ERD acts  as the  guide to a study  by identifying  key elements such as: authority,  study personnel roles and responsibilities,  test animals and groups,  data collection requirements (e.g. data collection forms), key study timepoints, statistical methods, test device or article characterization, use, handling and disposition; data collection and/or case report form requirements, study timeline and other key factors. </w:t>
            </w:r>
          </w:p>
          <w:p w14:paraId="5DE50FEC" w14:textId="77777777" w:rsidR="001C641C" w:rsidRDefault="001C641C" w:rsidP="001C641C">
            <w:r>
              <w:t xml:space="preserve">The ERD may also serve as the document demonstrating careful study planning and can provide instructions  between the investigator  and study support personnel during preclinical  research  efforts that are well documented. If refined through revision, the ERD can </w:t>
            </w:r>
            <w:r w:rsidR="00C84040">
              <w:t xml:space="preserve">be refined and </w:t>
            </w:r>
            <w:r>
              <w:t xml:space="preserve">evolve throughout the research continuum  as a source for the eventual development of a </w:t>
            </w:r>
            <w:r w:rsidRPr="00AC4F83">
              <w:rPr>
                <w:i/>
              </w:rPr>
              <w:t>Study Protocol</w:t>
            </w:r>
            <w:r>
              <w:t xml:space="preserve"> to support regulated – safety stage (GLP level) testing.   </w:t>
            </w:r>
          </w:p>
          <w:p w14:paraId="37A0BDFB" w14:textId="77777777" w:rsidR="001C641C" w:rsidRDefault="001C641C" w:rsidP="001C641C">
            <w:r>
              <w:t>Experiment Requirement Templates are available for all MPWRM investigators</w:t>
            </w:r>
          </w:p>
        </w:tc>
        <w:tc>
          <w:tcPr>
            <w:tcW w:w="1922" w:type="dxa"/>
            <w:vAlign w:val="center"/>
          </w:tcPr>
          <w:p w14:paraId="2CA51995" w14:textId="77777777" w:rsidR="001C641C" w:rsidRPr="00497C2C" w:rsidRDefault="001C641C" w:rsidP="001C641C">
            <w:pPr>
              <w:jc w:val="center"/>
              <w:rPr>
                <w:b/>
              </w:rPr>
            </w:pPr>
            <w:r w:rsidRPr="00497C2C">
              <w:rPr>
                <w:b/>
              </w:rPr>
              <w:t>MPWRM QA Core</w:t>
            </w:r>
          </w:p>
        </w:tc>
      </w:tr>
      <w:tr w:rsidR="00102FFE" w14:paraId="6D78889A" w14:textId="77777777" w:rsidTr="005726E9">
        <w:tc>
          <w:tcPr>
            <w:tcW w:w="2610" w:type="dxa"/>
            <w:vAlign w:val="center"/>
          </w:tcPr>
          <w:p w14:paraId="42F18CFD" w14:textId="77777777" w:rsidR="00102FFE" w:rsidRPr="00102FFE" w:rsidRDefault="00102FFE">
            <w:pPr>
              <w:rPr>
                <w:rFonts w:cstheme="minorHAnsi"/>
              </w:rPr>
            </w:pPr>
            <w:r w:rsidRPr="00102FFE">
              <w:rPr>
                <w:rFonts w:cstheme="minorHAnsi"/>
              </w:rPr>
              <w:lastRenderedPageBreak/>
              <w:t xml:space="preserve">Good Documentation Practices </w:t>
            </w:r>
            <w:r>
              <w:rPr>
                <w:rFonts w:cstheme="minorHAnsi"/>
              </w:rPr>
              <w:t>(GDP)</w:t>
            </w:r>
          </w:p>
        </w:tc>
        <w:tc>
          <w:tcPr>
            <w:tcW w:w="9540" w:type="dxa"/>
          </w:tcPr>
          <w:p w14:paraId="47BA9A47" w14:textId="77777777" w:rsidR="00102FFE" w:rsidRPr="00102FFE" w:rsidRDefault="00345737">
            <w:pPr>
              <w:rPr>
                <w:rFonts w:cstheme="minorHAnsi"/>
                <w:sz w:val="24"/>
                <w:szCs w:val="24"/>
              </w:rPr>
            </w:pPr>
            <w:r>
              <w:rPr>
                <w:sz w:val="24"/>
                <w:szCs w:val="24"/>
              </w:rPr>
              <w:t>M</w:t>
            </w:r>
            <w:r w:rsidR="00102FFE" w:rsidRPr="00102FFE">
              <w:rPr>
                <w:sz w:val="24"/>
                <w:szCs w:val="24"/>
              </w:rPr>
              <w:t xml:space="preserve">ethods for recording, correcting and managing data, documents and records, to ensure the reliability and integrity of information and data throughout all aspects of a product's lifecycle </w:t>
            </w:r>
            <w:r w:rsidR="00DE04A5">
              <w:rPr>
                <w:sz w:val="24"/>
                <w:szCs w:val="24"/>
              </w:rPr>
              <w:t>by establishing</w:t>
            </w:r>
            <w:r w:rsidR="00102FFE" w:rsidRPr="00102FFE">
              <w:rPr>
                <w:sz w:val="24"/>
                <w:szCs w:val="24"/>
              </w:rPr>
              <w:t xml:space="preserve"> the use of the ALCOA Principles </w:t>
            </w:r>
          </w:p>
        </w:tc>
        <w:tc>
          <w:tcPr>
            <w:tcW w:w="1922" w:type="dxa"/>
            <w:vAlign w:val="center"/>
          </w:tcPr>
          <w:p w14:paraId="5CBD83DC" w14:textId="77777777" w:rsidR="00102FFE" w:rsidRPr="00AF3DED" w:rsidRDefault="00102FFE" w:rsidP="00102FFE">
            <w:pPr>
              <w:jc w:val="center"/>
              <w:rPr>
                <w:rFonts w:cstheme="minorHAnsi"/>
                <w:b/>
                <w:sz w:val="24"/>
                <w:szCs w:val="24"/>
              </w:rPr>
            </w:pPr>
            <w:r w:rsidRPr="00AF3DED">
              <w:rPr>
                <w:rFonts w:cstheme="minorHAnsi"/>
                <w:b/>
                <w:sz w:val="24"/>
                <w:szCs w:val="24"/>
              </w:rPr>
              <w:t>FDA-EPA- MHRA ISO</w:t>
            </w:r>
            <w:r w:rsidR="00AF3DED" w:rsidRPr="00AF3DED">
              <w:rPr>
                <w:rFonts w:cstheme="minorHAnsi"/>
                <w:b/>
                <w:sz w:val="24"/>
                <w:szCs w:val="24"/>
              </w:rPr>
              <w:t xml:space="preserve"> 9001, PDA, WHO</w:t>
            </w:r>
          </w:p>
        </w:tc>
      </w:tr>
      <w:tr w:rsidR="00D5138F" w14:paraId="5F16A34E" w14:textId="77777777" w:rsidTr="005726E9">
        <w:tc>
          <w:tcPr>
            <w:tcW w:w="2610" w:type="dxa"/>
            <w:vAlign w:val="center"/>
          </w:tcPr>
          <w:p w14:paraId="441D7B8C" w14:textId="77777777" w:rsidR="00D5138F" w:rsidRDefault="00D5138F" w:rsidP="001C641C">
            <w:r>
              <w:t xml:space="preserve">Good Laboratory Practices Regulations  </w:t>
            </w:r>
          </w:p>
          <w:p w14:paraId="3A199096" w14:textId="77777777" w:rsidR="00D5138F" w:rsidRDefault="00D5138F" w:rsidP="00D5138F">
            <w:pPr>
              <w:jc w:val="center"/>
            </w:pPr>
            <w:r>
              <w:t>(GLP)</w:t>
            </w:r>
          </w:p>
        </w:tc>
        <w:tc>
          <w:tcPr>
            <w:tcW w:w="9540" w:type="dxa"/>
          </w:tcPr>
          <w:p w14:paraId="01CCA576" w14:textId="77777777" w:rsidR="00D5138F" w:rsidRPr="00C467B5" w:rsidRDefault="00C467B5" w:rsidP="001C641C">
            <w:pPr>
              <w:rPr>
                <w:rFonts w:cstheme="minorHAnsi"/>
                <w:sz w:val="24"/>
                <w:szCs w:val="24"/>
              </w:rPr>
            </w:pPr>
            <w:r w:rsidRPr="00C467B5">
              <w:rPr>
                <w:rFonts w:cstheme="minorHAnsi"/>
                <w:sz w:val="24"/>
                <w:szCs w:val="24"/>
              </w:rPr>
              <w:t xml:space="preserve">The FDA regulations – 21CFR58 - </w:t>
            </w:r>
            <w:r w:rsidRPr="00C467B5">
              <w:rPr>
                <w:rFonts w:cstheme="minorHAnsi"/>
                <w:color w:val="333333"/>
                <w:sz w:val="24"/>
                <w:szCs w:val="24"/>
              </w:rPr>
              <w:t xml:space="preserve">Good Laboratory Practice (GLP) Regulations-  is a </w:t>
            </w:r>
            <w:r w:rsidRPr="00C467B5">
              <w:rPr>
                <w:rFonts w:cstheme="minorHAnsi"/>
                <w:b/>
                <w:color w:val="333333"/>
                <w:sz w:val="24"/>
                <w:szCs w:val="24"/>
              </w:rPr>
              <w:t>quality system</w:t>
            </w:r>
            <w:r w:rsidRPr="00C467B5">
              <w:rPr>
                <w:rFonts w:cstheme="minorHAnsi"/>
                <w:color w:val="333333"/>
                <w:sz w:val="24"/>
                <w:szCs w:val="24"/>
              </w:rPr>
              <w:t xml:space="preserve"> concerned with the organizational process and the conditions under which nonclinical health and environmental safety studies are planned, performed, monitored, recorded, archived and reported. The scope of the GLPs focuses on safety of  a prospective therapeutic product intended for use in humans and animals. The GLP regulations are not concerned </w:t>
            </w:r>
            <w:r>
              <w:rPr>
                <w:rFonts w:cstheme="minorHAnsi"/>
                <w:color w:val="333333"/>
                <w:sz w:val="24"/>
                <w:szCs w:val="24"/>
              </w:rPr>
              <w:t>and do not apply to</w:t>
            </w:r>
            <w:r w:rsidRPr="00C467B5">
              <w:rPr>
                <w:rFonts w:cstheme="minorHAnsi"/>
                <w:color w:val="333333"/>
                <w:sz w:val="24"/>
                <w:szCs w:val="24"/>
              </w:rPr>
              <w:t xml:space="preserve"> basic</w:t>
            </w:r>
            <w:r>
              <w:rPr>
                <w:rFonts w:cstheme="minorHAnsi"/>
                <w:color w:val="333333"/>
                <w:sz w:val="24"/>
                <w:szCs w:val="24"/>
              </w:rPr>
              <w:t xml:space="preserve"> research </w:t>
            </w:r>
            <w:r w:rsidRPr="00C467B5">
              <w:rPr>
                <w:rFonts w:cstheme="minorHAnsi"/>
                <w:color w:val="333333"/>
                <w:sz w:val="24"/>
                <w:szCs w:val="24"/>
              </w:rPr>
              <w:t>- exploratory studies</w:t>
            </w:r>
            <w:r>
              <w:rPr>
                <w:rFonts w:cstheme="minorHAnsi"/>
                <w:color w:val="333333"/>
                <w:sz w:val="24"/>
                <w:szCs w:val="24"/>
              </w:rPr>
              <w:t xml:space="preserve"> carried out to</w:t>
            </w:r>
            <w:r w:rsidRPr="00C467B5">
              <w:rPr>
                <w:rFonts w:cstheme="minorHAnsi"/>
                <w:color w:val="333333"/>
                <w:sz w:val="24"/>
                <w:szCs w:val="24"/>
              </w:rPr>
              <w:t xml:space="preserve">   </w:t>
            </w:r>
            <w:proofErr w:type="spellStart"/>
            <w:r w:rsidRPr="00C467B5">
              <w:rPr>
                <w:rFonts w:cstheme="minorHAnsi"/>
                <w:color w:val="333333"/>
                <w:sz w:val="24"/>
                <w:szCs w:val="24"/>
              </w:rPr>
              <w:t>to</w:t>
            </w:r>
            <w:proofErr w:type="spellEnd"/>
            <w:r w:rsidRPr="00C467B5">
              <w:rPr>
                <w:rFonts w:cstheme="minorHAnsi"/>
                <w:color w:val="333333"/>
                <w:sz w:val="24"/>
                <w:szCs w:val="24"/>
              </w:rPr>
              <w:t xml:space="preserve"> define a </w:t>
            </w:r>
            <w:r>
              <w:rPr>
                <w:rFonts w:cstheme="minorHAnsi"/>
                <w:color w:val="333333"/>
                <w:sz w:val="24"/>
                <w:szCs w:val="24"/>
              </w:rPr>
              <w:t xml:space="preserve">potential </w:t>
            </w:r>
            <w:r w:rsidRPr="00C467B5">
              <w:rPr>
                <w:rFonts w:cstheme="minorHAnsi"/>
                <w:color w:val="333333"/>
                <w:sz w:val="24"/>
                <w:szCs w:val="24"/>
              </w:rPr>
              <w:t xml:space="preserve"> utility of a therapeutic. </w:t>
            </w:r>
          </w:p>
        </w:tc>
        <w:tc>
          <w:tcPr>
            <w:tcW w:w="1922" w:type="dxa"/>
            <w:vAlign w:val="center"/>
          </w:tcPr>
          <w:p w14:paraId="22F4409D" w14:textId="77777777" w:rsidR="00D5138F" w:rsidRDefault="00D5138F" w:rsidP="001C641C">
            <w:pPr>
              <w:jc w:val="center"/>
              <w:rPr>
                <w:b/>
              </w:rPr>
            </w:pPr>
            <w:r>
              <w:rPr>
                <w:b/>
              </w:rPr>
              <w:t>FDA</w:t>
            </w:r>
          </w:p>
          <w:p w14:paraId="0F5F88FA" w14:textId="77777777" w:rsidR="00C467B5" w:rsidRDefault="00C467B5" w:rsidP="001C641C">
            <w:pPr>
              <w:jc w:val="center"/>
              <w:rPr>
                <w:b/>
              </w:rPr>
            </w:pPr>
            <w:r>
              <w:rPr>
                <w:b/>
              </w:rPr>
              <w:t>MPWRM QA Core</w:t>
            </w:r>
          </w:p>
        </w:tc>
      </w:tr>
      <w:tr w:rsidR="00A279AD" w14:paraId="645AF09C" w14:textId="77777777" w:rsidTr="005726E9">
        <w:tc>
          <w:tcPr>
            <w:tcW w:w="2610" w:type="dxa"/>
            <w:vAlign w:val="center"/>
          </w:tcPr>
          <w:p w14:paraId="0283C1EE" w14:textId="77777777" w:rsidR="00A279AD" w:rsidRDefault="00A279AD" w:rsidP="001C641C">
            <w:r>
              <w:t xml:space="preserve">Good Manufacturing Practices </w:t>
            </w:r>
          </w:p>
          <w:p w14:paraId="13B36BBB" w14:textId="77777777" w:rsidR="00A279AD" w:rsidRDefault="00D22D53" w:rsidP="001C641C">
            <w:r>
              <w:t>(</w:t>
            </w:r>
            <w:r w:rsidR="00A279AD">
              <w:t>GMP</w:t>
            </w:r>
            <w:r>
              <w:t>)</w:t>
            </w:r>
          </w:p>
        </w:tc>
        <w:tc>
          <w:tcPr>
            <w:tcW w:w="9540" w:type="dxa"/>
          </w:tcPr>
          <w:p w14:paraId="6538951D" w14:textId="77777777" w:rsidR="00E1391D" w:rsidRPr="0075037A" w:rsidRDefault="00A279AD" w:rsidP="00E1391D">
            <w:pPr>
              <w:rPr>
                <w:rFonts w:cstheme="minorHAnsi"/>
                <w:sz w:val="24"/>
                <w:szCs w:val="24"/>
              </w:rPr>
            </w:pPr>
            <w:r>
              <w:t xml:space="preserve">Good Manufacturing Practices (GMP, also referred to as 'cGMP' or 'current Good Manufacturing Practice') is the aspect of quality assurance that ensures that </w:t>
            </w:r>
            <w:r w:rsidR="00D22D53">
              <w:t xml:space="preserve">therapeutics (including pharmaceuticals, medical devices, biologics and combination products) </w:t>
            </w:r>
            <w:r>
              <w:t xml:space="preserve"> are consistently produced and controlled to the quality standards appropriate to their intended use and as required by the product specification</w:t>
            </w:r>
            <w:r w:rsidR="004E375D">
              <w:t xml:space="preserve">. </w:t>
            </w:r>
          </w:p>
          <w:p w14:paraId="46BD6282" w14:textId="77777777" w:rsidR="00D22D53" w:rsidRPr="0075037A" w:rsidRDefault="00D22D53" w:rsidP="00E1391D">
            <w:pPr>
              <w:ind w:left="1966"/>
              <w:rPr>
                <w:rFonts w:cstheme="minorHAnsi"/>
                <w:sz w:val="24"/>
                <w:szCs w:val="24"/>
              </w:rPr>
            </w:pPr>
          </w:p>
        </w:tc>
        <w:tc>
          <w:tcPr>
            <w:tcW w:w="1922" w:type="dxa"/>
            <w:vAlign w:val="center"/>
          </w:tcPr>
          <w:p w14:paraId="6A79016C" w14:textId="77777777" w:rsidR="00A279AD" w:rsidRDefault="00D22D53" w:rsidP="001C641C">
            <w:pPr>
              <w:jc w:val="center"/>
              <w:rPr>
                <w:b/>
              </w:rPr>
            </w:pPr>
            <w:r>
              <w:rPr>
                <w:b/>
              </w:rPr>
              <w:t>FDA</w:t>
            </w:r>
          </w:p>
          <w:p w14:paraId="3F38712A" w14:textId="77777777" w:rsidR="00D22D53" w:rsidRDefault="00D22D53" w:rsidP="001C641C">
            <w:pPr>
              <w:jc w:val="center"/>
              <w:rPr>
                <w:b/>
              </w:rPr>
            </w:pPr>
            <w:r>
              <w:rPr>
                <w:b/>
              </w:rPr>
              <w:t>WHO</w:t>
            </w:r>
          </w:p>
          <w:p w14:paraId="735A256E" w14:textId="77777777" w:rsidR="00D22D53" w:rsidRDefault="00D22D53" w:rsidP="001C641C">
            <w:pPr>
              <w:jc w:val="center"/>
              <w:rPr>
                <w:b/>
              </w:rPr>
            </w:pPr>
            <w:r>
              <w:rPr>
                <w:b/>
              </w:rPr>
              <w:t>MPWRM QA Core</w:t>
            </w:r>
          </w:p>
        </w:tc>
      </w:tr>
      <w:tr w:rsidR="001C641C" w14:paraId="6E591B5C" w14:textId="77777777" w:rsidTr="005726E9">
        <w:tc>
          <w:tcPr>
            <w:tcW w:w="2610" w:type="dxa"/>
            <w:vAlign w:val="center"/>
          </w:tcPr>
          <w:p w14:paraId="0FCD700F" w14:textId="77777777" w:rsidR="00D5138F" w:rsidRDefault="001C641C" w:rsidP="001C641C">
            <w:r>
              <w:t xml:space="preserve">Nonclinical Study </w:t>
            </w:r>
            <w:r w:rsidR="00D5138F">
              <w:t xml:space="preserve">or  </w:t>
            </w:r>
          </w:p>
          <w:p w14:paraId="5750ABB1" w14:textId="77777777" w:rsidR="001C641C" w:rsidRDefault="00D5138F" w:rsidP="001C641C">
            <w:r>
              <w:t>GLP- Regulated  Study</w:t>
            </w:r>
          </w:p>
        </w:tc>
        <w:tc>
          <w:tcPr>
            <w:tcW w:w="9540" w:type="dxa"/>
          </w:tcPr>
          <w:p w14:paraId="4CD780A3" w14:textId="77777777" w:rsidR="001C641C" w:rsidRPr="0075037A" w:rsidRDefault="001C641C" w:rsidP="001C641C">
            <w:pPr>
              <w:rPr>
                <w:rFonts w:cstheme="minorHAnsi"/>
                <w:sz w:val="24"/>
                <w:szCs w:val="24"/>
              </w:rPr>
            </w:pPr>
            <w:r w:rsidRPr="0075037A">
              <w:rPr>
                <w:rFonts w:cstheme="minorHAnsi"/>
                <w:sz w:val="24"/>
                <w:szCs w:val="24"/>
              </w:rPr>
              <w:t xml:space="preserve">in vivo or in vitro experiments in which test articles are studied prospectively in test systems </w:t>
            </w:r>
            <w:r>
              <w:rPr>
                <w:rFonts w:cstheme="minorHAnsi"/>
                <w:sz w:val="24"/>
                <w:szCs w:val="24"/>
              </w:rPr>
              <w:t xml:space="preserve">(animals) </w:t>
            </w:r>
            <w:r w:rsidRPr="0075037A">
              <w:rPr>
                <w:rFonts w:cstheme="minorHAnsi"/>
                <w:sz w:val="24"/>
                <w:szCs w:val="24"/>
              </w:rPr>
              <w:t xml:space="preserve">under laboratory conditions to determine their safety. The term does not include studies utilizing human subjects or clinical studies or field trials in animals. The </w:t>
            </w:r>
            <w:r w:rsidRPr="0075037A">
              <w:rPr>
                <w:rFonts w:cstheme="minorHAnsi"/>
                <w:sz w:val="24"/>
                <w:szCs w:val="24"/>
                <w:u w:val="single"/>
              </w:rPr>
              <w:t>term does not include basic exploratory studies</w:t>
            </w:r>
            <w:r w:rsidRPr="0075037A">
              <w:rPr>
                <w:rFonts w:cstheme="minorHAnsi"/>
                <w:sz w:val="24"/>
                <w:szCs w:val="24"/>
              </w:rPr>
              <w:t xml:space="preserve"> carried out to determine whether a test article has any potential utility or to determine physical or chemical characteristics of a test article.</w:t>
            </w:r>
          </w:p>
        </w:tc>
        <w:tc>
          <w:tcPr>
            <w:tcW w:w="1922" w:type="dxa"/>
            <w:vAlign w:val="center"/>
          </w:tcPr>
          <w:p w14:paraId="026ED72B" w14:textId="77777777" w:rsidR="001C641C" w:rsidRDefault="001C641C" w:rsidP="001C641C">
            <w:pPr>
              <w:jc w:val="center"/>
              <w:rPr>
                <w:b/>
              </w:rPr>
            </w:pPr>
            <w:r>
              <w:rPr>
                <w:b/>
              </w:rPr>
              <w:t xml:space="preserve">US-FDA </w:t>
            </w:r>
          </w:p>
          <w:p w14:paraId="714139F3" w14:textId="77777777" w:rsidR="001C641C" w:rsidRPr="00102FFE" w:rsidRDefault="001C641C" w:rsidP="001C641C">
            <w:pPr>
              <w:jc w:val="center"/>
              <w:rPr>
                <w:b/>
              </w:rPr>
            </w:pPr>
            <w:r>
              <w:rPr>
                <w:b/>
              </w:rPr>
              <w:t>21CFR 58.3 (d)</w:t>
            </w:r>
          </w:p>
        </w:tc>
      </w:tr>
      <w:tr w:rsidR="001C641C" w14:paraId="412D021C" w14:textId="77777777" w:rsidTr="005726E9">
        <w:trPr>
          <w:trHeight w:val="70"/>
        </w:trPr>
        <w:tc>
          <w:tcPr>
            <w:tcW w:w="2610" w:type="dxa"/>
            <w:vAlign w:val="center"/>
          </w:tcPr>
          <w:p w14:paraId="6B7B818B" w14:textId="77777777" w:rsidR="001C641C" w:rsidRDefault="001C641C" w:rsidP="001C641C">
            <w:r>
              <w:t xml:space="preserve">Preclinical Study </w:t>
            </w:r>
          </w:p>
        </w:tc>
        <w:tc>
          <w:tcPr>
            <w:tcW w:w="9540" w:type="dxa"/>
          </w:tcPr>
          <w:p w14:paraId="7C25ABB3" w14:textId="77777777" w:rsidR="001C641C" w:rsidRPr="005C2D17" w:rsidRDefault="001C641C" w:rsidP="001C641C">
            <w:pPr>
              <w:spacing w:before="100" w:beforeAutospacing="1" w:after="100" w:afterAutospacing="1"/>
              <w:rPr>
                <w:rFonts w:ascii="Flama Book" w:eastAsia="Times New Roman" w:hAnsi="Flama Book" w:cs="Segoe UI"/>
                <w:sz w:val="24"/>
                <w:szCs w:val="24"/>
              </w:rPr>
            </w:pPr>
            <w:r w:rsidRPr="008B084C">
              <w:rPr>
                <w:rFonts w:ascii="Flama Book" w:eastAsia="Times New Roman" w:hAnsi="Flama Book" w:cs="Segoe UI"/>
                <w:sz w:val="24"/>
                <w:szCs w:val="24"/>
                <w:u w:val="single"/>
              </w:rPr>
              <w:t>Non-regulated basic/exploratory research effort</w:t>
            </w:r>
            <w:r w:rsidRPr="005C2D17">
              <w:rPr>
                <w:rFonts w:ascii="Flama Book" w:eastAsia="Times New Roman" w:hAnsi="Flama Book" w:cs="Segoe UI"/>
                <w:sz w:val="24"/>
                <w:szCs w:val="24"/>
              </w:rPr>
              <w:t xml:space="preserve"> for purposes of efficacy and</w:t>
            </w:r>
            <w:r>
              <w:rPr>
                <w:rFonts w:ascii="Flama Book" w:eastAsia="Times New Roman" w:hAnsi="Flama Book" w:cs="Segoe UI"/>
                <w:sz w:val="24"/>
                <w:szCs w:val="24"/>
              </w:rPr>
              <w:t xml:space="preserve"> overall </w:t>
            </w:r>
            <w:r w:rsidRPr="005C2D17">
              <w:rPr>
                <w:rFonts w:ascii="Flama Book" w:eastAsia="Times New Roman" w:hAnsi="Flama Book" w:cs="Segoe UI"/>
                <w:sz w:val="24"/>
                <w:szCs w:val="24"/>
              </w:rPr>
              <w:t xml:space="preserve"> utility of a </w:t>
            </w:r>
            <w:r>
              <w:rPr>
                <w:rFonts w:ascii="Flama Book" w:eastAsia="Times New Roman" w:hAnsi="Flama Book" w:cs="Segoe UI"/>
                <w:sz w:val="24"/>
                <w:szCs w:val="24"/>
              </w:rPr>
              <w:t>pharmaceutical, device, materials, biologic or other therapeutics intended as a potential treatment of a diseased state.</w:t>
            </w:r>
          </w:p>
        </w:tc>
        <w:tc>
          <w:tcPr>
            <w:tcW w:w="1922" w:type="dxa"/>
            <w:vAlign w:val="center"/>
          </w:tcPr>
          <w:p w14:paraId="4C38FC1F" w14:textId="77777777" w:rsidR="001C641C" w:rsidRPr="00102FFE" w:rsidRDefault="001C641C" w:rsidP="001C641C">
            <w:pPr>
              <w:jc w:val="center"/>
              <w:rPr>
                <w:b/>
              </w:rPr>
            </w:pPr>
            <w:r>
              <w:rPr>
                <w:b/>
              </w:rPr>
              <w:t>FDA</w:t>
            </w:r>
          </w:p>
        </w:tc>
      </w:tr>
      <w:tr w:rsidR="001C641C" w14:paraId="310A3FBA" w14:textId="77777777" w:rsidTr="005726E9">
        <w:trPr>
          <w:trHeight w:val="70"/>
        </w:trPr>
        <w:tc>
          <w:tcPr>
            <w:tcW w:w="2610" w:type="dxa"/>
            <w:vAlign w:val="center"/>
          </w:tcPr>
          <w:p w14:paraId="76B6C5A2" w14:textId="77777777" w:rsidR="001C641C" w:rsidRDefault="001C641C" w:rsidP="001C641C">
            <w:r>
              <w:t xml:space="preserve">Pre-submission </w:t>
            </w:r>
          </w:p>
          <w:p w14:paraId="5CC8D368" w14:textId="77777777" w:rsidR="001C641C" w:rsidRDefault="001C641C" w:rsidP="001C641C">
            <w:r>
              <w:t>(Pre-Subs)</w:t>
            </w:r>
          </w:p>
          <w:p w14:paraId="1F632ADA" w14:textId="77777777" w:rsidR="001C641C" w:rsidRDefault="001C641C" w:rsidP="001C641C">
            <w:r>
              <w:t>Q-Submission</w:t>
            </w:r>
          </w:p>
          <w:p w14:paraId="3A6FC084" w14:textId="77777777" w:rsidR="001C641C" w:rsidRDefault="001C641C" w:rsidP="001C641C">
            <w:r>
              <w:t>(Q-Subs)</w:t>
            </w:r>
          </w:p>
        </w:tc>
        <w:tc>
          <w:tcPr>
            <w:tcW w:w="9540" w:type="dxa"/>
          </w:tcPr>
          <w:p w14:paraId="6C396131" w14:textId="77777777" w:rsidR="001C641C" w:rsidRPr="005726E9" w:rsidRDefault="001C641C" w:rsidP="001C641C">
            <w:pPr>
              <w:rPr>
                <w:rFonts w:cstheme="minorHAnsi"/>
                <w:sz w:val="24"/>
                <w:szCs w:val="24"/>
              </w:rPr>
            </w:pPr>
            <w:r>
              <w:rPr>
                <w:sz w:val="23"/>
                <w:szCs w:val="23"/>
              </w:rPr>
              <w:t>A Pre-Sub includes a formal written request from a submitter</w:t>
            </w:r>
            <w:r>
              <w:rPr>
                <w:sz w:val="16"/>
                <w:szCs w:val="16"/>
              </w:rPr>
              <w:t xml:space="preserve">5 </w:t>
            </w:r>
            <w:r>
              <w:rPr>
                <w:sz w:val="23"/>
                <w:szCs w:val="23"/>
              </w:rPr>
              <w:t xml:space="preserve">for feedback from FDA that is provided in the form of a formal written response or, if the submitter chooses, formal written feedback followed by a meeting in which any additional feedback or clarifications are documented in meeting minutes. The program is entirely voluntary on the part of the submitter. However, early interaction with FDA on planned nonclinical and clinical studies and careful consideration of FDA’s feedback may improve the quality of subsequent submissions, shorten total review times, and facilitate the development process for new devices. </w:t>
            </w:r>
            <w:r w:rsidRPr="005726E9">
              <w:rPr>
                <w:rFonts w:cstheme="minorHAnsi"/>
                <w:sz w:val="24"/>
                <w:szCs w:val="24"/>
              </w:rPr>
              <w:t>Formerly known as the pre-IDE (Investigational Device Exemption) program, FDA has since expanded the program to include a multitude of medical device submissions</w:t>
            </w:r>
            <w:r>
              <w:rPr>
                <w:rFonts w:cstheme="minorHAnsi"/>
                <w:sz w:val="24"/>
                <w:szCs w:val="24"/>
              </w:rPr>
              <w:t>:</w:t>
            </w:r>
          </w:p>
          <w:p w14:paraId="70527B73" w14:textId="77777777" w:rsidR="001C641C" w:rsidRPr="00A7161A"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lastRenderedPageBreak/>
              <w:t>IDE – Investigational Device Exemption</w:t>
            </w:r>
          </w:p>
          <w:p w14:paraId="2756E549" w14:textId="77777777" w:rsidR="001C641C" w:rsidRPr="00A7161A"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t>510(k) –Premarket Notification</w:t>
            </w:r>
          </w:p>
          <w:p w14:paraId="4BA6FAC2" w14:textId="77777777" w:rsidR="001C641C" w:rsidRPr="00A7161A"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t>PMA-Premarket Approval</w:t>
            </w:r>
          </w:p>
          <w:p w14:paraId="5FEECB20" w14:textId="77777777" w:rsidR="001C641C" w:rsidRPr="00A7161A"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t>HDE – Humanitarian Device Exemption</w:t>
            </w:r>
          </w:p>
          <w:p w14:paraId="66F384FB" w14:textId="77777777" w:rsidR="001C641C" w:rsidRPr="00A7161A"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t>De novo petitions – Classification option for novel low to moderate risk devices without first being required to submit a 510(k)</w:t>
            </w:r>
          </w:p>
          <w:p w14:paraId="274182C7" w14:textId="77777777" w:rsidR="001C641C" w:rsidRPr="00A7161A"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t>CLIA-Clinical Laboratory Improvement Amendments-knowing whether a clinical study requires an IDE.</w:t>
            </w:r>
          </w:p>
          <w:p w14:paraId="1742CDDC" w14:textId="77777777" w:rsidR="001C641C" w:rsidRDefault="001C641C" w:rsidP="001C641C">
            <w:pPr>
              <w:numPr>
                <w:ilvl w:val="0"/>
                <w:numId w:val="6"/>
              </w:numPr>
              <w:shd w:val="clear" w:color="auto" w:fill="FFFFFF"/>
              <w:spacing w:line="405" w:lineRule="atLeast"/>
              <w:ind w:left="360"/>
              <w:rPr>
                <w:rFonts w:eastAsia="Times New Roman" w:cstheme="minorHAnsi"/>
                <w:sz w:val="23"/>
                <w:szCs w:val="23"/>
              </w:rPr>
            </w:pPr>
            <w:r w:rsidRPr="00A7161A">
              <w:rPr>
                <w:rFonts w:eastAsia="Times New Roman" w:cstheme="minorHAnsi"/>
                <w:sz w:val="23"/>
                <w:szCs w:val="23"/>
              </w:rPr>
              <w:t>Certain INDs (Investigational New Drug Applications) and BLAs (Biologic License Applications)</w:t>
            </w:r>
          </w:p>
          <w:p w14:paraId="78E021EC" w14:textId="77777777" w:rsidR="00D5138F" w:rsidRDefault="001C641C" w:rsidP="001C641C">
            <w:pPr>
              <w:shd w:val="clear" w:color="auto" w:fill="FFFFFF"/>
              <w:spacing w:line="405" w:lineRule="atLeast"/>
              <w:rPr>
                <w:rFonts w:cstheme="minorHAnsi"/>
                <w:sz w:val="24"/>
                <w:szCs w:val="24"/>
              </w:rPr>
            </w:pPr>
            <w:r w:rsidRPr="008B084C">
              <w:rPr>
                <w:rFonts w:cstheme="minorHAnsi"/>
                <w:sz w:val="24"/>
                <w:szCs w:val="24"/>
              </w:rPr>
              <w:t>All of the above are collectively referred to as Q-Submissions (Q-Subs</w:t>
            </w:r>
            <w:r>
              <w:rPr>
                <w:rFonts w:cstheme="minorHAnsi"/>
                <w:sz w:val="24"/>
                <w:szCs w:val="24"/>
              </w:rPr>
              <w:t xml:space="preserve">). </w:t>
            </w:r>
          </w:p>
          <w:p w14:paraId="498252FE" w14:textId="77777777" w:rsidR="001C641C" w:rsidRPr="008B084C" w:rsidRDefault="001C641C" w:rsidP="001C641C">
            <w:pPr>
              <w:shd w:val="clear" w:color="auto" w:fill="FFFFFF"/>
              <w:spacing w:line="405" w:lineRule="atLeast"/>
              <w:rPr>
                <w:rFonts w:eastAsia="Times New Roman" w:cstheme="minorHAnsi"/>
                <w:sz w:val="24"/>
                <w:szCs w:val="24"/>
              </w:rPr>
            </w:pPr>
            <w:r>
              <w:rPr>
                <w:rFonts w:cstheme="minorHAnsi"/>
                <w:sz w:val="24"/>
                <w:szCs w:val="24"/>
              </w:rPr>
              <w:t>Submissions are designated with a</w:t>
            </w:r>
            <w:bookmarkStart w:id="0" w:name="_GoBack"/>
            <w:r>
              <w:rPr>
                <w:rFonts w:cstheme="minorHAnsi"/>
                <w:sz w:val="24"/>
                <w:szCs w:val="24"/>
              </w:rPr>
              <w:t xml:space="preserve"> control number that </w:t>
            </w:r>
            <w:r w:rsidR="00D5138F">
              <w:rPr>
                <w:rFonts w:cstheme="minorHAnsi"/>
                <w:sz w:val="24"/>
                <w:szCs w:val="24"/>
              </w:rPr>
              <w:t>begins with a</w:t>
            </w:r>
            <w:r>
              <w:rPr>
                <w:rFonts w:cstheme="minorHAnsi"/>
                <w:sz w:val="24"/>
                <w:szCs w:val="24"/>
              </w:rPr>
              <w:t xml:space="preserve"> </w:t>
            </w:r>
            <w:bookmarkEnd w:id="0"/>
            <w:r w:rsidR="00D5138F">
              <w:rPr>
                <w:rFonts w:cstheme="minorHAnsi"/>
                <w:sz w:val="24"/>
                <w:szCs w:val="24"/>
              </w:rPr>
              <w:t>“Q”</w:t>
            </w:r>
            <w:r w:rsidR="00E1391D">
              <w:rPr>
                <w:rFonts w:cstheme="minorHAnsi"/>
                <w:sz w:val="24"/>
                <w:szCs w:val="24"/>
              </w:rPr>
              <w:t xml:space="preserve"> hence the term “Q-Sub”</w:t>
            </w:r>
          </w:p>
        </w:tc>
        <w:tc>
          <w:tcPr>
            <w:tcW w:w="1922" w:type="dxa"/>
            <w:vAlign w:val="center"/>
          </w:tcPr>
          <w:p w14:paraId="27B6C8A5" w14:textId="77777777" w:rsidR="001C641C" w:rsidRDefault="001C641C" w:rsidP="001C641C">
            <w:pPr>
              <w:jc w:val="center"/>
              <w:rPr>
                <w:b/>
              </w:rPr>
            </w:pPr>
            <w:r>
              <w:rPr>
                <w:b/>
              </w:rPr>
              <w:lastRenderedPageBreak/>
              <w:t xml:space="preserve">FDA </w:t>
            </w:r>
          </w:p>
          <w:p w14:paraId="2A3C2AC6" w14:textId="77777777" w:rsidR="001C641C" w:rsidRDefault="001C641C" w:rsidP="001C641C">
            <w:pPr>
              <w:jc w:val="center"/>
              <w:rPr>
                <w:b/>
              </w:rPr>
            </w:pPr>
            <w:r>
              <w:rPr>
                <w:b/>
              </w:rPr>
              <w:t>(CDRH- CBER)</w:t>
            </w:r>
          </w:p>
          <w:p w14:paraId="6141B6AF" w14:textId="77777777" w:rsidR="001C641C" w:rsidRPr="00102FFE" w:rsidRDefault="001C641C" w:rsidP="001C641C">
            <w:pPr>
              <w:jc w:val="center"/>
              <w:rPr>
                <w:b/>
              </w:rPr>
            </w:pPr>
          </w:p>
        </w:tc>
      </w:tr>
      <w:tr w:rsidR="00102FFE" w14:paraId="446D7745" w14:textId="77777777" w:rsidTr="005726E9">
        <w:trPr>
          <w:trHeight w:val="70"/>
        </w:trPr>
        <w:tc>
          <w:tcPr>
            <w:tcW w:w="2610" w:type="dxa"/>
            <w:vAlign w:val="center"/>
          </w:tcPr>
          <w:p w14:paraId="713B887A" w14:textId="77777777" w:rsidR="0001324F" w:rsidRPr="0001324F" w:rsidRDefault="00AF3DED" w:rsidP="00F8472A">
            <w:pPr>
              <w:rPr>
                <w:i/>
              </w:rPr>
            </w:pPr>
            <w:r>
              <w:t>Quality Assurance</w:t>
            </w:r>
            <w:r w:rsidR="0001324F">
              <w:t xml:space="preserve"> </w:t>
            </w:r>
          </w:p>
        </w:tc>
        <w:tc>
          <w:tcPr>
            <w:tcW w:w="9540" w:type="dxa"/>
          </w:tcPr>
          <w:p w14:paraId="13EF9C38" w14:textId="77777777" w:rsidR="00102FFE" w:rsidRPr="00FA1749" w:rsidRDefault="0001324F" w:rsidP="008B084C">
            <w:pPr>
              <w:autoSpaceDE w:val="0"/>
              <w:autoSpaceDN w:val="0"/>
              <w:adjustRightInd w:val="0"/>
              <w:rPr>
                <w:rFonts w:cstheme="minorHAnsi"/>
                <w:sz w:val="24"/>
                <w:szCs w:val="24"/>
              </w:rPr>
            </w:pPr>
            <w:r>
              <w:rPr>
                <w:rFonts w:cstheme="minorHAnsi"/>
                <w:sz w:val="24"/>
                <w:szCs w:val="24"/>
              </w:rPr>
              <w:t>E</w:t>
            </w:r>
            <w:r w:rsidR="00FA1749" w:rsidRPr="00FA1749">
              <w:rPr>
                <w:rFonts w:cstheme="minorHAnsi"/>
                <w:sz w:val="24"/>
                <w:szCs w:val="24"/>
              </w:rPr>
              <w:t xml:space="preserve">lements </w:t>
            </w:r>
            <w:r w:rsidR="002472D0" w:rsidRPr="00FA1749">
              <w:rPr>
                <w:rFonts w:cstheme="minorHAnsi"/>
                <w:sz w:val="24"/>
                <w:szCs w:val="24"/>
              </w:rPr>
              <w:t xml:space="preserve">independent of study performance, whose activities </w:t>
            </w:r>
            <w:r w:rsidR="00FA1749" w:rsidRPr="00FA1749">
              <w:rPr>
                <w:rFonts w:cstheme="minorHAnsi"/>
                <w:sz w:val="24"/>
                <w:szCs w:val="24"/>
              </w:rPr>
              <w:t xml:space="preserve">provide </w:t>
            </w:r>
            <w:r w:rsidR="005C2D17" w:rsidRPr="00FA1749">
              <w:rPr>
                <w:rFonts w:cstheme="minorHAnsi"/>
                <w:sz w:val="24"/>
                <w:szCs w:val="24"/>
              </w:rPr>
              <w:t xml:space="preserve">general </w:t>
            </w:r>
            <w:r w:rsidR="002472D0" w:rsidRPr="00FA1749">
              <w:rPr>
                <w:rFonts w:cstheme="minorHAnsi"/>
                <w:sz w:val="24"/>
                <w:szCs w:val="24"/>
              </w:rPr>
              <w:t>quality</w:t>
            </w:r>
            <w:r w:rsidR="003212B0">
              <w:rPr>
                <w:rFonts w:cstheme="minorHAnsi"/>
                <w:sz w:val="24"/>
                <w:szCs w:val="24"/>
              </w:rPr>
              <w:t xml:space="preserve"> system </w:t>
            </w:r>
            <w:r w:rsidR="00FA1749" w:rsidRPr="00FA1749">
              <w:rPr>
                <w:rFonts w:cstheme="minorHAnsi"/>
                <w:sz w:val="24"/>
                <w:szCs w:val="24"/>
              </w:rPr>
              <w:t xml:space="preserve"> inputs in the development </w:t>
            </w:r>
            <w:r w:rsidR="002472D0" w:rsidRPr="00FA1749">
              <w:rPr>
                <w:rFonts w:cstheme="minorHAnsi"/>
                <w:sz w:val="24"/>
                <w:szCs w:val="24"/>
              </w:rPr>
              <w:t xml:space="preserve"> </w:t>
            </w:r>
            <w:r w:rsidR="003212B0">
              <w:rPr>
                <w:rFonts w:cstheme="minorHAnsi"/>
                <w:sz w:val="24"/>
                <w:szCs w:val="24"/>
              </w:rPr>
              <w:t xml:space="preserve">and execution </w:t>
            </w:r>
            <w:r w:rsidR="002472D0" w:rsidRPr="00FA1749">
              <w:rPr>
                <w:rFonts w:cstheme="minorHAnsi"/>
                <w:sz w:val="24"/>
                <w:szCs w:val="24"/>
              </w:rPr>
              <w:t xml:space="preserve">of </w:t>
            </w:r>
            <w:r w:rsidR="003212B0">
              <w:rPr>
                <w:rFonts w:cstheme="minorHAnsi"/>
                <w:sz w:val="24"/>
                <w:szCs w:val="24"/>
              </w:rPr>
              <w:t xml:space="preserve">a </w:t>
            </w:r>
            <w:r w:rsidR="002472D0" w:rsidRPr="00FA1749">
              <w:rPr>
                <w:rFonts w:cstheme="minorHAnsi"/>
                <w:sz w:val="24"/>
                <w:szCs w:val="24"/>
              </w:rPr>
              <w:t>research stud</w:t>
            </w:r>
            <w:r w:rsidR="00476843" w:rsidRPr="00FA1749">
              <w:rPr>
                <w:rFonts w:cstheme="minorHAnsi"/>
                <w:sz w:val="24"/>
                <w:szCs w:val="24"/>
              </w:rPr>
              <w:t>y</w:t>
            </w:r>
            <w:r w:rsidR="00FA1749" w:rsidRPr="00FA1749">
              <w:rPr>
                <w:rFonts w:cstheme="minorHAnsi"/>
                <w:sz w:val="24"/>
                <w:szCs w:val="24"/>
              </w:rPr>
              <w:t xml:space="preserve">; offering of advisement in the development of study plans; inputs for data collection, development of SOPs; </w:t>
            </w:r>
            <w:r w:rsidR="00FA1749">
              <w:rPr>
                <w:rFonts w:cstheme="minorHAnsi"/>
                <w:sz w:val="24"/>
                <w:szCs w:val="24"/>
              </w:rPr>
              <w:t>s</w:t>
            </w:r>
            <w:r w:rsidR="00FA1749" w:rsidRPr="00FA1749">
              <w:rPr>
                <w:rFonts w:cstheme="minorHAnsi"/>
                <w:sz w:val="24"/>
                <w:szCs w:val="24"/>
              </w:rPr>
              <w:t>ystematic and independent examination to determine whether activities</w:t>
            </w:r>
            <w:r w:rsidR="00FA1749">
              <w:rPr>
                <w:rFonts w:cstheme="minorHAnsi"/>
                <w:sz w:val="24"/>
                <w:szCs w:val="24"/>
              </w:rPr>
              <w:t xml:space="preserve"> </w:t>
            </w:r>
            <w:r w:rsidR="00FA1749" w:rsidRPr="00FA1749">
              <w:rPr>
                <w:rFonts w:cstheme="minorHAnsi"/>
                <w:sz w:val="24"/>
                <w:szCs w:val="24"/>
              </w:rPr>
              <w:t>and related results comply with planned arrangements and whether</w:t>
            </w:r>
            <w:r>
              <w:rPr>
                <w:rFonts w:cstheme="minorHAnsi"/>
                <w:sz w:val="24"/>
                <w:szCs w:val="24"/>
              </w:rPr>
              <w:t xml:space="preserve"> </w:t>
            </w:r>
            <w:r w:rsidR="00FA1749" w:rsidRPr="00FA1749">
              <w:rPr>
                <w:rFonts w:cstheme="minorHAnsi"/>
                <w:sz w:val="24"/>
                <w:szCs w:val="24"/>
              </w:rPr>
              <w:t>these arrangements are implemented effectively and are suitable for</w:t>
            </w:r>
            <w:r w:rsidR="00FA1749">
              <w:rPr>
                <w:rFonts w:cstheme="minorHAnsi"/>
                <w:sz w:val="24"/>
                <w:szCs w:val="24"/>
              </w:rPr>
              <w:t xml:space="preserve"> </w:t>
            </w:r>
            <w:r w:rsidR="00FA1749" w:rsidRPr="00FA1749">
              <w:rPr>
                <w:rFonts w:cstheme="minorHAnsi"/>
                <w:sz w:val="24"/>
                <w:szCs w:val="24"/>
              </w:rPr>
              <w:t>achieving the objectives</w:t>
            </w:r>
            <w:r w:rsidR="008B084C">
              <w:rPr>
                <w:rFonts w:cstheme="minorHAnsi"/>
                <w:sz w:val="24"/>
                <w:szCs w:val="24"/>
              </w:rPr>
              <w:t xml:space="preserve"> and can be reconstructed.</w:t>
            </w:r>
          </w:p>
        </w:tc>
        <w:tc>
          <w:tcPr>
            <w:tcW w:w="1922" w:type="dxa"/>
            <w:vAlign w:val="center"/>
          </w:tcPr>
          <w:p w14:paraId="6A48D966" w14:textId="77777777" w:rsidR="00102FFE" w:rsidRDefault="00AF3DED" w:rsidP="00102FFE">
            <w:pPr>
              <w:jc w:val="center"/>
              <w:rPr>
                <w:rFonts w:cstheme="minorHAnsi"/>
                <w:b/>
                <w:sz w:val="24"/>
                <w:szCs w:val="24"/>
              </w:rPr>
            </w:pPr>
            <w:r w:rsidRPr="00AF3DED">
              <w:rPr>
                <w:rFonts w:cstheme="minorHAnsi"/>
                <w:b/>
                <w:sz w:val="24"/>
                <w:szCs w:val="24"/>
              </w:rPr>
              <w:t>US FDA- OECD</w:t>
            </w:r>
          </w:p>
          <w:p w14:paraId="07C8FBB8" w14:textId="77777777" w:rsidR="00205C3A" w:rsidRPr="00AF3DED" w:rsidRDefault="00205C3A" w:rsidP="00102FFE">
            <w:pPr>
              <w:jc w:val="center"/>
              <w:rPr>
                <w:rFonts w:cstheme="minorHAnsi"/>
                <w:b/>
                <w:sz w:val="24"/>
                <w:szCs w:val="24"/>
              </w:rPr>
            </w:pPr>
            <w:r>
              <w:rPr>
                <w:rFonts w:cstheme="minorHAnsi"/>
                <w:b/>
                <w:sz w:val="24"/>
                <w:szCs w:val="24"/>
              </w:rPr>
              <w:t>MPWRM QA Core</w:t>
            </w:r>
          </w:p>
        </w:tc>
      </w:tr>
      <w:tr w:rsidR="00102FFE" w14:paraId="377AF43D" w14:textId="77777777" w:rsidTr="005726E9">
        <w:tc>
          <w:tcPr>
            <w:tcW w:w="2610" w:type="dxa"/>
            <w:vAlign w:val="center"/>
          </w:tcPr>
          <w:p w14:paraId="36855919" w14:textId="77777777" w:rsidR="00102FFE" w:rsidRDefault="00AF3DED">
            <w:r>
              <w:t>Quality Control</w:t>
            </w:r>
          </w:p>
        </w:tc>
        <w:tc>
          <w:tcPr>
            <w:tcW w:w="9540" w:type="dxa"/>
          </w:tcPr>
          <w:p w14:paraId="34B7F56A" w14:textId="77777777" w:rsidR="00102FFE" w:rsidRDefault="003212B0">
            <w:r>
              <w:t xml:space="preserve">The preemptive use of </w:t>
            </w:r>
            <w:r w:rsidR="00090DE1">
              <w:t>a</w:t>
            </w:r>
            <w:r>
              <w:t xml:space="preserve"> standardized processes</w:t>
            </w:r>
            <w:r w:rsidR="00440C6E">
              <w:t xml:space="preserve"> and</w:t>
            </w:r>
            <w:r>
              <w:t xml:space="preserve"> procedures that </w:t>
            </w:r>
            <w:r w:rsidR="00090DE1">
              <w:t xml:space="preserve">ensures outcomes </w:t>
            </w:r>
            <w:r>
              <w:t>of</w:t>
            </w:r>
            <w:r w:rsidR="00090DE1">
              <w:t xml:space="preserve"> </w:t>
            </w:r>
            <w:r>
              <w:t xml:space="preserve">a specific  </w:t>
            </w:r>
            <w:r w:rsidR="00090DE1">
              <w:t xml:space="preserve">measurement or </w:t>
            </w:r>
            <w:r>
              <w:t>analysis are accurate, reproducible</w:t>
            </w:r>
            <w:r w:rsidR="00C118C1">
              <w:t xml:space="preserve">, </w:t>
            </w:r>
            <w:r>
              <w:t>reliable</w:t>
            </w:r>
            <w:r w:rsidR="00C118C1">
              <w:t xml:space="preserve"> and are in alignment with known specifications</w:t>
            </w:r>
            <w:r>
              <w:t xml:space="preserve">. </w:t>
            </w:r>
          </w:p>
        </w:tc>
        <w:tc>
          <w:tcPr>
            <w:tcW w:w="1922" w:type="dxa"/>
            <w:vAlign w:val="center"/>
          </w:tcPr>
          <w:p w14:paraId="104EBB7A" w14:textId="77777777" w:rsidR="00102FFE" w:rsidRPr="00102FFE" w:rsidRDefault="00102FFE" w:rsidP="00102FFE">
            <w:pPr>
              <w:jc w:val="center"/>
              <w:rPr>
                <w:b/>
              </w:rPr>
            </w:pPr>
          </w:p>
        </w:tc>
      </w:tr>
      <w:tr w:rsidR="00374D18" w14:paraId="07048A60" w14:textId="77777777" w:rsidTr="005726E9">
        <w:tc>
          <w:tcPr>
            <w:tcW w:w="2610" w:type="dxa"/>
            <w:vAlign w:val="center"/>
          </w:tcPr>
          <w:p w14:paraId="02F8957D" w14:textId="77777777" w:rsidR="00374D18" w:rsidRDefault="00374D18" w:rsidP="001C641C">
            <w:r>
              <w:t>Regulatory Affairs</w:t>
            </w:r>
          </w:p>
        </w:tc>
        <w:tc>
          <w:tcPr>
            <w:tcW w:w="9540" w:type="dxa"/>
          </w:tcPr>
          <w:p w14:paraId="158BA146" w14:textId="77777777" w:rsidR="00374D18" w:rsidRPr="00596419" w:rsidRDefault="00C91778" w:rsidP="00DB342C">
            <w:pPr>
              <w:autoSpaceDE w:val="0"/>
              <w:autoSpaceDN w:val="0"/>
              <w:adjustRightInd w:val="0"/>
              <w:rPr>
                <w:rFonts w:cstheme="minorHAnsi"/>
                <w:sz w:val="24"/>
                <w:szCs w:val="24"/>
              </w:rPr>
            </w:pPr>
            <w:r>
              <w:rPr>
                <w:rFonts w:cstheme="minorHAnsi"/>
                <w:sz w:val="24"/>
                <w:szCs w:val="24"/>
              </w:rPr>
              <w:t>E</w:t>
            </w:r>
            <w:r w:rsidRPr="00C91778">
              <w:rPr>
                <w:rFonts w:cstheme="minorHAnsi"/>
                <w:sz w:val="24"/>
                <w:szCs w:val="24"/>
              </w:rPr>
              <w:t xml:space="preserve">nsuring organizations are meeting all of the applicable regulations, such as those established by the Food and Drug Administration </w:t>
            </w:r>
            <w:r>
              <w:rPr>
                <w:rFonts w:cstheme="minorHAnsi"/>
                <w:sz w:val="24"/>
                <w:szCs w:val="24"/>
              </w:rPr>
              <w:t>by evaluating investigational products</w:t>
            </w:r>
            <w:r w:rsidRPr="00C91778">
              <w:rPr>
                <w:rFonts w:cstheme="minorHAnsi"/>
                <w:sz w:val="24"/>
                <w:szCs w:val="24"/>
              </w:rPr>
              <w:t xml:space="preserve"> for compliance</w:t>
            </w:r>
            <w:r w:rsidR="00DB342C">
              <w:rPr>
                <w:rFonts w:cstheme="minorHAnsi"/>
                <w:sz w:val="24"/>
                <w:szCs w:val="24"/>
              </w:rPr>
              <w:t>.</w:t>
            </w:r>
            <w:r w:rsidRPr="00C91778">
              <w:rPr>
                <w:rFonts w:cstheme="minorHAnsi"/>
                <w:sz w:val="24"/>
                <w:szCs w:val="24"/>
              </w:rPr>
              <w:t xml:space="preserve"> </w:t>
            </w:r>
            <w:r>
              <w:t xml:space="preserve"> Work with the </w:t>
            </w:r>
            <w:r w:rsidRPr="00C91778">
              <w:t>drug or device development team</w:t>
            </w:r>
            <w:r>
              <w:t xml:space="preserve"> </w:t>
            </w:r>
            <w:r w:rsidRPr="00C91778">
              <w:rPr>
                <w:rFonts w:cstheme="minorHAnsi"/>
                <w:sz w:val="24"/>
                <w:szCs w:val="24"/>
              </w:rPr>
              <w:t>to de</w:t>
            </w:r>
            <w:r>
              <w:rPr>
                <w:rFonts w:cstheme="minorHAnsi"/>
                <w:sz w:val="24"/>
                <w:szCs w:val="24"/>
              </w:rPr>
              <w:t>fine</w:t>
            </w:r>
            <w:r w:rsidRPr="00C91778">
              <w:rPr>
                <w:rFonts w:cstheme="minorHAnsi"/>
                <w:sz w:val="24"/>
                <w:szCs w:val="24"/>
              </w:rPr>
              <w:t xml:space="preserve"> and execute a regulatory strategy to ensure that the collective effort results in a product that is approvable by global regulators but is also differentiated from the competition in some way and also </w:t>
            </w:r>
            <w:r>
              <w:rPr>
                <w:rFonts w:cstheme="minorHAnsi"/>
                <w:sz w:val="24"/>
                <w:szCs w:val="24"/>
              </w:rPr>
              <w:t xml:space="preserve">helps </w:t>
            </w:r>
            <w:r w:rsidRPr="00C91778">
              <w:rPr>
                <w:rFonts w:cstheme="minorHAnsi"/>
                <w:sz w:val="24"/>
                <w:szCs w:val="24"/>
              </w:rPr>
              <w:t xml:space="preserve">to ensure that the company’s activities, from non-clinical research through </w:t>
            </w:r>
            <w:r>
              <w:rPr>
                <w:rFonts w:cstheme="minorHAnsi"/>
                <w:sz w:val="24"/>
                <w:szCs w:val="24"/>
              </w:rPr>
              <w:t xml:space="preserve">approval, </w:t>
            </w:r>
            <w:r w:rsidRPr="00C91778">
              <w:rPr>
                <w:rFonts w:cstheme="minorHAnsi"/>
                <w:sz w:val="24"/>
                <w:szCs w:val="24"/>
              </w:rPr>
              <w:t xml:space="preserve">advertising and promotion, </w:t>
            </w:r>
            <w:r w:rsidRPr="00C91778">
              <w:rPr>
                <w:rFonts w:cstheme="minorHAnsi"/>
                <w:sz w:val="24"/>
                <w:szCs w:val="24"/>
              </w:rPr>
              <w:lastRenderedPageBreak/>
              <w:t>are conducted in accordance with the regulations and guidelines established by regulatory authorities</w:t>
            </w:r>
            <w:r>
              <w:rPr>
                <w:rFonts w:cstheme="minorHAnsi"/>
                <w:sz w:val="24"/>
                <w:szCs w:val="24"/>
              </w:rPr>
              <w:t>.</w:t>
            </w:r>
          </w:p>
        </w:tc>
        <w:tc>
          <w:tcPr>
            <w:tcW w:w="1922" w:type="dxa"/>
            <w:vAlign w:val="center"/>
          </w:tcPr>
          <w:p w14:paraId="28B6AB23" w14:textId="77777777" w:rsidR="00A02BEB" w:rsidRDefault="00A02BEB" w:rsidP="001C641C">
            <w:pPr>
              <w:jc w:val="center"/>
              <w:rPr>
                <w:b/>
              </w:rPr>
            </w:pPr>
            <w:r>
              <w:rPr>
                <w:b/>
              </w:rPr>
              <w:lastRenderedPageBreak/>
              <w:t xml:space="preserve">US FDA </w:t>
            </w:r>
          </w:p>
          <w:p w14:paraId="02D02ABF" w14:textId="77777777" w:rsidR="00374D18" w:rsidRDefault="00A02BEB" w:rsidP="00A02BEB">
            <w:pPr>
              <w:jc w:val="center"/>
              <w:rPr>
                <w:b/>
              </w:rPr>
            </w:pPr>
            <w:r w:rsidRPr="00A02BEB">
              <w:rPr>
                <w:b/>
              </w:rPr>
              <w:t xml:space="preserve">MPWRM </w:t>
            </w:r>
            <w:r>
              <w:rPr>
                <w:b/>
              </w:rPr>
              <w:t>R</w:t>
            </w:r>
            <w:r w:rsidRPr="00A02BEB">
              <w:rPr>
                <w:b/>
              </w:rPr>
              <w:t>A Core</w:t>
            </w:r>
          </w:p>
        </w:tc>
      </w:tr>
      <w:tr w:rsidR="001C641C" w14:paraId="25472874" w14:textId="77777777" w:rsidTr="005726E9">
        <w:tc>
          <w:tcPr>
            <w:tcW w:w="2610" w:type="dxa"/>
            <w:vAlign w:val="center"/>
          </w:tcPr>
          <w:p w14:paraId="543D4610" w14:textId="77777777" w:rsidR="001C641C" w:rsidRDefault="001C641C" w:rsidP="001C641C">
            <w:r>
              <w:t xml:space="preserve">Risk Management </w:t>
            </w:r>
          </w:p>
        </w:tc>
        <w:tc>
          <w:tcPr>
            <w:tcW w:w="9540" w:type="dxa"/>
          </w:tcPr>
          <w:p w14:paraId="4DB5C5B2" w14:textId="77777777" w:rsidR="001C641C" w:rsidRPr="00596419" w:rsidRDefault="001C641C" w:rsidP="001C641C">
            <w:pPr>
              <w:autoSpaceDE w:val="0"/>
              <w:autoSpaceDN w:val="0"/>
              <w:adjustRightInd w:val="0"/>
              <w:rPr>
                <w:rFonts w:cstheme="minorHAnsi"/>
                <w:sz w:val="24"/>
                <w:szCs w:val="24"/>
              </w:rPr>
            </w:pPr>
            <w:r w:rsidRPr="00596419">
              <w:rPr>
                <w:rFonts w:cstheme="minorHAnsi"/>
                <w:sz w:val="24"/>
                <w:szCs w:val="24"/>
              </w:rPr>
              <w:t>The systematic application of management policies, procedures, and practices to the tasks of</w:t>
            </w:r>
          </w:p>
          <w:p w14:paraId="516E0BD0" w14:textId="77777777" w:rsidR="001C641C" w:rsidRPr="00596419" w:rsidRDefault="001C641C" w:rsidP="001C641C">
            <w:pPr>
              <w:autoSpaceDE w:val="0"/>
              <w:autoSpaceDN w:val="0"/>
              <w:adjustRightInd w:val="0"/>
              <w:rPr>
                <w:rFonts w:cstheme="minorHAnsi"/>
                <w:sz w:val="24"/>
                <w:szCs w:val="24"/>
              </w:rPr>
            </w:pPr>
            <w:r w:rsidRPr="00596419">
              <w:rPr>
                <w:rFonts w:cstheme="minorHAnsi"/>
                <w:sz w:val="24"/>
                <w:szCs w:val="24"/>
              </w:rPr>
              <w:t>identifying, analyzing, controlling, and monitoring risk. It is intended to be a framework</w:t>
            </w:r>
          </w:p>
          <w:p w14:paraId="05C815B7" w14:textId="77777777" w:rsidR="001C641C" w:rsidRPr="00596419" w:rsidRDefault="001C641C" w:rsidP="001C641C">
            <w:pPr>
              <w:rPr>
                <w:rFonts w:cstheme="minorHAnsi"/>
              </w:rPr>
            </w:pPr>
            <w:r w:rsidRPr="00596419">
              <w:rPr>
                <w:rFonts w:cstheme="minorHAnsi"/>
                <w:sz w:val="24"/>
                <w:szCs w:val="24"/>
              </w:rPr>
              <w:t>within which experience, insight, and judgment are applied to successfully manage risk</w:t>
            </w:r>
          </w:p>
        </w:tc>
        <w:tc>
          <w:tcPr>
            <w:tcW w:w="1922" w:type="dxa"/>
            <w:vAlign w:val="center"/>
          </w:tcPr>
          <w:p w14:paraId="67F5B737" w14:textId="77777777" w:rsidR="001C641C" w:rsidRDefault="001C641C" w:rsidP="001C641C">
            <w:pPr>
              <w:jc w:val="center"/>
              <w:rPr>
                <w:b/>
              </w:rPr>
            </w:pPr>
            <w:r>
              <w:rPr>
                <w:b/>
              </w:rPr>
              <w:t>FDA Design Control Guidance 1997</w:t>
            </w:r>
          </w:p>
          <w:p w14:paraId="5882997D" w14:textId="77777777" w:rsidR="00D22D53" w:rsidRPr="00102FFE" w:rsidRDefault="00D22D53" w:rsidP="001C641C">
            <w:pPr>
              <w:jc w:val="center"/>
              <w:rPr>
                <w:b/>
              </w:rPr>
            </w:pPr>
            <w:r>
              <w:rPr>
                <w:b/>
              </w:rPr>
              <w:t>ICH Q9</w:t>
            </w:r>
          </w:p>
        </w:tc>
      </w:tr>
      <w:tr w:rsidR="00102FFE" w14:paraId="512ECC80" w14:textId="77777777" w:rsidTr="005726E9">
        <w:tc>
          <w:tcPr>
            <w:tcW w:w="2610" w:type="dxa"/>
            <w:vAlign w:val="center"/>
          </w:tcPr>
          <w:p w14:paraId="35E7AE07" w14:textId="77777777" w:rsidR="00102FFE" w:rsidRDefault="00472E52">
            <w:r>
              <w:t>Standard Operating Procedure (SOP)</w:t>
            </w:r>
          </w:p>
        </w:tc>
        <w:tc>
          <w:tcPr>
            <w:tcW w:w="9540" w:type="dxa"/>
          </w:tcPr>
          <w:p w14:paraId="140C0BC0" w14:textId="77777777" w:rsidR="00102FFE" w:rsidRDefault="00472E52">
            <w:pPr>
              <w:rPr>
                <w:rStyle w:val="e24kjd"/>
                <w:rFonts w:cstheme="minorHAnsi"/>
                <w:color w:val="222222"/>
                <w:sz w:val="24"/>
                <w:szCs w:val="24"/>
              </w:rPr>
            </w:pPr>
            <w:r>
              <w:rPr>
                <w:rStyle w:val="e24kjd"/>
                <w:rFonts w:cstheme="minorHAnsi"/>
                <w:color w:val="222222"/>
                <w:sz w:val="24"/>
                <w:szCs w:val="24"/>
              </w:rPr>
              <w:t xml:space="preserve">Provides </w:t>
            </w:r>
            <w:r w:rsidRPr="00472E52">
              <w:rPr>
                <w:rStyle w:val="e24kjd"/>
                <w:rFonts w:cstheme="minorHAnsi"/>
                <w:color w:val="222222"/>
                <w:sz w:val="24"/>
                <w:szCs w:val="24"/>
              </w:rPr>
              <w:t xml:space="preserve"> </w:t>
            </w:r>
            <w:r w:rsidR="00837648">
              <w:rPr>
                <w:rStyle w:val="e24kjd"/>
                <w:rFonts w:cstheme="minorHAnsi"/>
                <w:color w:val="222222"/>
                <w:sz w:val="24"/>
                <w:szCs w:val="24"/>
              </w:rPr>
              <w:t xml:space="preserve">a set of </w:t>
            </w:r>
            <w:r w:rsidRPr="00472E52">
              <w:rPr>
                <w:rStyle w:val="e24kjd"/>
                <w:rFonts w:cstheme="minorHAnsi"/>
                <w:color w:val="222222"/>
                <w:sz w:val="24"/>
                <w:szCs w:val="24"/>
              </w:rPr>
              <w:t xml:space="preserve">step-by-step instructions compiled to provide guidance to </w:t>
            </w:r>
            <w:r w:rsidR="00AC4F83">
              <w:rPr>
                <w:rStyle w:val="e24kjd"/>
                <w:rFonts w:cstheme="minorHAnsi"/>
                <w:color w:val="222222"/>
                <w:sz w:val="24"/>
                <w:szCs w:val="24"/>
              </w:rPr>
              <w:t xml:space="preserve">key </w:t>
            </w:r>
            <w:r w:rsidRPr="00472E52">
              <w:rPr>
                <w:rStyle w:val="e24kjd"/>
                <w:rFonts w:cstheme="minorHAnsi"/>
                <w:color w:val="222222"/>
                <w:sz w:val="24"/>
                <w:szCs w:val="24"/>
              </w:rPr>
              <w:t xml:space="preserve">study personnel to carry out complex and/or routine </w:t>
            </w:r>
            <w:r w:rsidRPr="00472E52">
              <w:rPr>
                <w:rStyle w:val="e24kjd"/>
                <w:rFonts w:cstheme="minorHAnsi"/>
                <w:bCs/>
                <w:color w:val="222222"/>
                <w:sz w:val="24"/>
                <w:szCs w:val="24"/>
              </w:rPr>
              <w:t>activities</w:t>
            </w:r>
            <w:r w:rsidR="00837648">
              <w:rPr>
                <w:rStyle w:val="e24kjd"/>
                <w:rFonts w:cstheme="minorHAnsi"/>
                <w:bCs/>
                <w:color w:val="222222"/>
                <w:sz w:val="24"/>
                <w:szCs w:val="24"/>
              </w:rPr>
              <w:t xml:space="preserve"> consistently</w:t>
            </w:r>
            <w:r w:rsidRPr="00472E52">
              <w:rPr>
                <w:rStyle w:val="e24kjd"/>
                <w:rFonts w:cstheme="minorHAnsi"/>
                <w:color w:val="222222"/>
                <w:sz w:val="24"/>
                <w:szCs w:val="24"/>
              </w:rPr>
              <w:t>. SOPs aim to achieve efficiency, quality output and uniformity of performance, while reducing miscommunication and failure to comply with a specific requirement or method.</w:t>
            </w:r>
            <w:r>
              <w:rPr>
                <w:rStyle w:val="e24kjd"/>
                <w:rFonts w:cstheme="minorHAnsi"/>
                <w:color w:val="222222"/>
                <w:sz w:val="24"/>
                <w:szCs w:val="24"/>
              </w:rPr>
              <w:t xml:space="preserve"> SOP</w:t>
            </w:r>
            <w:r w:rsidR="00837648">
              <w:rPr>
                <w:rStyle w:val="e24kjd"/>
                <w:rFonts w:cstheme="minorHAnsi"/>
                <w:color w:val="222222"/>
                <w:sz w:val="24"/>
                <w:szCs w:val="24"/>
              </w:rPr>
              <w:t>s</w:t>
            </w:r>
            <w:r>
              <w:rPr>
                <w:rStyle w:val="e24kjd"/>
                <w:rFonts w:cstheme="minorHAnsi"/>
                <w:color w:val="222222"/>
                <w:sz w:val="24"/>
                <w:szCs w:val="24"/>
              </w:rPr>
              <w:t xml:space="preserve"> </w:t>
            </w:r>
            <w:r w:rsidR="00837648">
              <w:rPr>
                <w:rStyle w:val="e24kjd"/>
                <w:rFonts w:cstheme="minorHAnsi"/>
                <w:color w:val="222222"/>
                <w:sz w:val="24"/>
                <w:szCs w:val="24"/>
              </w:rPr>
              <w:t>ensure</w:t>
            </w:r>
            <w:r>
              <w:rPr>
                <w:rStyle w:val="e24kjd"/>
                <w:rFonts w:cstheme="minorHAnsi"/>
                <w:color w:val="222222"/>
                <w:sz w:val="24"/>
                <w:szCs w:val="24"/>
              </w:rPr>
              <w:t xml:space="preserve"> the outcome of a</w:t>
            </w:r>
            <w:r w:rsidR="00837648">
              <w:rPr>
                <w:rStyle w:val="e24kjd"/>
                <w:rFonts w:cstheme="minorHAnsi"/>
                <w:color w:val="222222"/>
                <w:sz w:val="24"/>
                <w:szCs w:val="24"/>
              </w:rPr>
              <w:t xml:space="preserve"> specific </w:t>
            </w:r>
            <w:r>
              <w:rPr>
                <w:rStyle w:val="e24kjd"/>
                <w:rFonts w:cstheme="minorHAnsi"/>
                <w:color w:val="222222"/>
                <w:sz w:val="24"/>
                <w:szCs w:val="24"/>
              </w:rPr>
              <w:t xml:space="preserve"> activity can be </w:t>
            </w:r>
            <w:r w:rsidR="00837648">
              <w:rPr>
                <w:rStyle w:val="e24kjd"/>
                <w:rFonts w:cstheme="minorHAnsi"/>
                <w:color w:val="222222"/>
                <w:sz w:val="24"/>
                <w:szCs w:val="24"/>
              </w:rPr>
              <w:t xml:space="preserve">consistently reproduced when performed by qualified  personnel. </w:t>
            </w:r>
          </w:p>
          <w:p w14:paraId="2D2B89FC" w14:textId="77777777" w:rsidR="00497C2C" w:rsidRPr="00472E52" w:rsidRDefault="00497C2C">
            <w:pPr>
              <w:rPr>
                <w:rFonts w:cstheme="minorHAnsi"/>
                <w:sz w:val="24"/>
                <w:szCs w:val="24"/>
              </w:rPr>
            </w:pPr>
            <w:r>
              <w:rPr>
                <w:rFonts w:cstheme="minorHAnsi"/>
                <w:sz w:val="24"/>
                <w:szCs w:val="24"/>
              </w:rPr>
              <w:t xml:space="preserve">SOPs must be </w:t>
            </w:r>
            <w:r w:rsidR="008B084C">
              <w:rPr>
                <w:rFonts w:cstheme="minorHAnsi"/>
                <w:sz w:val="24"/>
                <w:szCs w:val="24"/>
              </w:rPr>
              <w:t xml:space="preserve">maintained as living documents that are </w:t>
            </w:r>
            <w:r>
              <w:rPr>
                <w:rFonts w:cstheme="minorHAnsi"/>
                <w:sz w:val="24"/>
                <w:szCs w:val="24"/>
              </w:rPr>
              <w:t>reviewed</w:t>
            </w:r>
            <w:r w:rsidR="008B084C">
              <w:rPr>
                <w:rFonts w:cstheme="minorHAnsi"/>
                <w:sz w:val="24"/>
                <w:szCs w:val="24"/>
              </w:rPr>
              <w:t xml:space="preserve">, refined </w:t>
            </w:r>
            <w:r>
              <w:rPr>
                <w:rFonts w:cstheme="minorHAnsi"/>
                <w:sz w:val="24"/>
                <w:szCs w:val="24"/>
              </w:rPr>
              <w:t xml:space="preserve"> and revised on a continuing  basis to assure any changes to approaches use</w:t>
            </w:r>
            <w:r w:rsidR="008B084C">
              <w:rPr>
                <w:rFonts w:cstheme="minorHAnsi"/>
                <w:sz w:val="24"/>
                <w:szCs w:val="24"/>
              </w:rPr>
              <w:t>d</w:t>
            </w:r>
            <w:r>
              <w:rPr>
                <w:rFonts w:cstheme="minorHAnsi"/>
                <w:sz w:val="24"/>
                <w:szCs w:val="24"/>
              </w:rPr>
              <w:t xml:space="preserve"> are captured assuring continual improvement </w:t>
            </w:r>
            <w:r w:rsidR="008B084C">
              <w:rPr>
                <w:rFonts w:cstheme="minorHAnsi"/>
                <w:sz w:val="24"/>
                <w:szCs w:val="24"/>
              </w:rPr>
              <w:t>to a specific activity.</w:t>
            </w:r>
          </w:p>
        </w:tc>
        <w:tc>
          <w:tcPr>
            <w:tcW w:w="1922" w:type="dxa"/>
            <w:vAlign w:val="center"/>
          </w:tcPr>
          <w:p w14:paraId="7A595C17" w14:textId="77777777" w:rsidR="00102FFE" w:rsidRPr="00102FFE" w:rsidRDefault="00C230DE" w:rsidP="00497C2C">
            <w:pPr>
              <w:rPr>
                <w:b/>
              </w:rPr>
            </w:pPr>
            <w:r>
              <w:rPr>
                <w:b/>
              </w:rPr>
              <w:t>MPWRM QA C</w:t>
            </w:r>
            <w:r w:rsidR="00AF3D7A">
              <w:rPr>
                <w:b/>
              </w:rPr>
              <w:t>ore</w:t>
            </w:r>
          </w:p>
        </w:tc>
      </w:tr>
      <w:tr w:rsidR="001C641C" w14:paraId="6A5FB5AD" w14:textId="77777777" w:rsidTr="005726E9">
        <w:trPr>
          <w:trHeight w:val="845"/>
        </w:trPr>
        <w:tc>
          <w:tcPr>
            <w:tcW w:w="2610" w:type="dxa"/>
            <w:vAlign w:val="center"/>
          </w:tcPr>
          <w:p w14:paraId="0B6824F1" w14:textId="77777777" w:rsidR="001C641C" w:rsidRDefault="001C641C" w:rsidP="001C641C">
            <w:r>
              <w:t xml:space="preserve">Test Article </w:t>
            </w:r>
          </w:p>
        </w:tc>
        <w:tc>
          <w:tcPr>
            <w:tcW w:w="9540" w:type="dxa"/>
          </w:tcPr>
          <w:p w14:paraId="355DEE3E" w14:textId="77777777" w:rsidR="001C641C" w:rsidRPr="008B084C" w:rsidRDefault="001C641C" w:rsidP="001C641C">
            <w:pPr>
              <w:rPr>
                <w:rFonts w:cstheme="minorHAnsi"/>
                <w:sz w:val="24"/>
                <w:szCs w:val="24"/>
              </w:rPr>
            </w:pPr>
            <w:r>
              <w:rPr>
                <w:rFonts w:cstheme="minorHAnsi"/>
                <w:sz w:val="24"/>
                <w:szCs w:val="24"/>
              </w:rPr>
              <w:t>A</w:t>
            </w:r>
            <w:r w:rsidRPr="008B084C">
              <w:rPr>
                <w:rFonts w:cstheme="minorHAnsi"/>
                <w:sz w:val="24"/>
                <w:szCs w:val="24"/>
              </w:rPr>
              <w:t>ny food additive, color additive, drug, biological product, electronic product, medical device for human use, or any other article subject to regulation under the act or under sections 351 and 354-360F of the Public Health Service Act.</w:t>
            </w:r>
          </w:p>
        </w:tc>
        <w:tc>
          <w:tcPr>
            <w:tcW w:w="1922" w:type="dxa"/>
            <w:vAlign w:val="center"/>
          </w:tcPr>
          <w:p w14:paraId="6F899F4E" w14:textId="77777777" w:rsidR="001C641C" w:rsidRDefault="001C641C" w:rsidP="001C641C">
            <w:pPr>
              <w:jc w:val="center"/>
              <w:rPr>
                <w:b/>
              </w:rPr>
            </w:pPr>
            <w:r>
              <w:rPr>
                <w:b/>
              </w:rPr>
              <w:t xml:space="preserve">FDA </w:t>
            </w:r>
          </w:p>
          <w:p w14:paraId="0DB16AED" w14:textId="77777777" w:rsidR="001C641C" w:rsidRPr="00102FFE" w:rsidRDefault="001C641C" w:rsidP="001C641C">
            <w:pPr>
              <w:jc w:val="center"/>
              <w:rPr>
                <w:b/>
              </w:rPr>
            </w:pPr>
            <w:r>
              <w:rPr>
                <w:b/>
              </w:rPr>
              <w:t>21CFR58.3(b)</w:t>
            </w:r>
          </w:p>
        </w:tc>
      </w:tr>
      <w:tr w:rsidR="00102FFE" w14:paraId="675C1577" w14:textId="77777777" w:rsidTr="005726E9">
        <w:trPr>
          <w:trHeight w:val="845"/>
        </w:trPr>
        <w:tc>
          <w:tcPr>
            <w:tcW w:w="2610" w:type="dxa"/>
            <w:vAlign w:val="center"/>
          </w:tcPr>
          <w:p w14:paraId="74C994CC" w14:textId="77777777" w:rsidR="00102FFE" w:rsidRDefault="00837648">
            <w:r>
              <w:t>Well Controlled Study</w:t>
            </w:r>
          </w:p>
        </w:tc>
        <w:tc>
          <w:tcPr>
            <w:tcW w:w="9540" w:type="dxa"/>
          </w:tcPr>
          <w:p w14:paraId="745E45F9" w14:textId="77777777" w:rsidR="004A3020" w:rsidRDefault="00837648">
            <w:r>
              <w:t>A study that</w:t>
            </w:r>
            <w:r w:rsidR="003212B0">
              <w:t xml:space="preserve"> integrates </w:t>
            </w:r>
            <w:r w:rsidR="00210A46">
              <w:t xml:space="preserve"> basic</w:t>
            </w:r>
            <w:r>
              <w:t xml:space="preserve"> quality </w:t>
            </w:r>
            <w:r w:rsidR="00AC4F83">
              <w:t xml:space="preserve">system </w:t>
            </w:r>
            <w:r>
              <w:t>principles</w:t>
            </w:r>
            <w:r w:rsidR="00210A46">
              <w:t xml:space="preserve"> (e.g. ALCOA</w:t>
            </w:r>
            <w:r w:rsidR="004A3020">
              <w:t>, etc.</w:t>
            </w:r>
            <w:r w:rsidR="00210A46">
              <w:t xml:space="preserve">), </w:t>
            </w:r>
            <w:r>
              <w:t xml:space="preserve"> </w:t>
            </w:r>
            <w:r w:rsidR="004A3020">
              <w:t xml:space="preserve">through </w:t>
            </w:r>
            <w:r w:rsidR="00AC4F83">
              <w:t xml:space="preserve">careful </w:t>
            </w:r>
            <w:r w:rsidR="004A3020">
              <w:t xml:space="preserve">pre-study </w:t>
            </w:r>
            <w:r w:rsidR="00AC4F83">
              <w:t>planning</w:t>
            </w:r>
            <w:r w:rsidR="004A3020">
              <w:t xml:space="preserve"> activities, with </w:t>
            </w:r>
            <w:r>
              <w:t xml:space="preserve"> use </w:t>
            </w:r>
            <w:r w:rsidR="004A3020">
              <w:t xml:space="preserve">of </w:t>
            </w:r>
            <w:r w:rsidR="003212B0">
              <w:t xml:space="preserve">tools </w:t>
            </w:r>
            <w:r w:rsidR="00EB4508">
              <w:t xml:space="preserve"> such as </w:t>
            </w:r>
            <w:r w:rsidR="0001324F">
              <w:t xml:space="preserve">Experiment Requirements Document </w:t>
            </w:r>
            <w:r w:rsidR="00AC4F83">
              <w:t>/Study Plan</w:t>
            </w:r>
            <w:r w:rsidR="001C641C">
              <w:t xml:space="preserve">; </w:t>
            </w:r>
            <w:r w:rsidR="00AC4F83">
              <w:t xml:space="preserve"> SOPs </w:t>
            </w:r>
            <w:r w:rsidR="001C641C">
              <w:t xml:space="preserve"> for critical processes </w:t>
            </w:r>
            <w:r w:rsidR="00AC4F83">
              <w:t>and documented communications between the Investigator and those performing study activities</w:t>
            </w:r>
            <w:r w:rsidR="00210A46">
              <w:t xml:space="preserve">. </w:t>
            </w:r>
            <w:r w:rsidR="00833F75">
              <w:t xml:space="preserve"> </w:t>
            </w:r>
            <w:r w:rsidR="004A3020">
              <w:t xml:space="preserve"> A well-controlled study may include the</w:t>
            </w:r>
            <w:r w:rsidR="006C0935">
              <w:t xml:space="preserve"> frequent</w:t>
            </w:r>
            <w:r w:rsidR="004A3020">
              <w:t xml:space="preserve"> monitoring of activities by individuals, </w:t>
            </w:r>
            <w:r w:rsidR="001C641C">
              <w:t xml:space="preserve">as </w:t>
            </w:r>
            <w:r w:rsidR="004A3020">
              <w:t xml:space="preserve">designated by the </w:t>
            </w:r>
            <w:r w:rsidR="009A4390">
              <w:t>Principal I</w:t>
            </w:r>
            <w:r w:rsidR="004A3020">
              <w:t xml:space="preserve">nvestigator,  to review </w:t>
            </w:r>
            <w:r w:rsidR="00497C2C">
              <w:t xml:space="preserve">study </w:t>
            </w:r>
            <w:r w:rsidR="004A3020">
              <w:t xml:space="preserve">activities and  </w:t>
            </w:r>
            <w:r w:rsidR="00497C2C">
              <w:t>provide a level of assurance</w:t>
            </w:r>
            <w:r w:rsidR="009A4390">
              <w:t xml:space="preserve"> that</w:t>
            </w:r>
            <w:r w:rsidR="00497C2C">
              <w:t xml:space="preserve"> study</w:t>
            </w:r>
            <w:r w:rsidR="009A4390">
              <w:t xml:space="preserve"> activities are performed as required, that </w:t>
            </w:r>
            <w:r w:rsidR="004A3020">
              <w:t>data is collected and maintained  as required by the study plan</w:t>
            </w:r>
            <w:r w:rsidR="00497C2C">
              <w:t>/ERD</w:t>
            </w:r>
            <w:r w:rsidR="00BD729E">
              <w:t xml:space="preserve"> and</w:t>
            </w:r>
            <w:r w:rsidR="009A4390">
              <w:t xml:space="preserve"> conform to</w:t>
            </w:r>
            <w:r w:rsidR="00BD729E">
              <w:t xml:space="preserve"> best practices</w:t>
            </w:r>
            <w:r w:rsidR="004A3020">
              <w:t xml:space="preserve">.  </w:t>
            </w:r>
            <w:r w:rsidR="00497C2C">
              <w:t xml:space="preserve"> A well-controlled  study </w:t>
            </w:r>
            <w:r w:rsidR="009A4390">
              <w:t xml:space="preserve">should </w:t>
            </w:r>
            <w:r w:rsidR="00497C2C">
              <w:t xml:space="preserve">document any </w:t>
            </w:r>
            <w:r w:rsidR="00BD729E">
              <w:t xml:space="preserve">excursion </w:t>
            </w:r>
            <w:r w:rsidR="00497C2C">
              <w:t xml:space="preserve"> from the </w:t>
            </w:r>
            <w:r w:rsidR="003212B0">
              <w:t xml:space="preserve"> original </w:t>
            </w:r>
            <w:r w:rsidR="00497C2C">
              <w:t xml:space="preserve">study plan </w:t>
            </w:r>
            <w:r w:rsidR="009A4390">
              <w:t xml:space="preserve"> </w:t>
            </w:r>
            <w:r w:rsidR="003212B0">
              <w:t xml:space="preserve">and </w:t>
            </w:r>
            <w:r w:rsidR="009A4390">
              <w:t>include</w:t>
            </w:r>
            <w:r w:rsidR="003212B0">
              <w:t xml:space="preserve"> </w:t>
            </w:r>
            <w:r w:rsidR="00BD729E">
              <w:t>corrective actions taken along with preventive actions to limit the potential for recurrence.  A well-controlled study will provide elements of transparency  to assure all potential impacts to the study, including errors,  are</w:t>
            </w:r>
            <w:r w:rsidR="006C0935">
              <w:t xml:space="preserve"> </w:t>
            </w:r>
            <w:r w:rsidR="009A4390">
              <w:t>reported.</w:t>
            </w:r>
          </w:p>
        </w:tc>
        <w:tc>
          <w:tcPr>
            <w:tcW w:w="1922" w:type="dxa"/>
            <w:vAlign w:val="center"/>
          </w:tcPr>
          <w:p w14:paraId="5FAF6900" w14:textId="77777777" w:rsidR="00102FFE" w:rsidRPr="00102FFE" w:rsidRDefault="00497C2C" w:rsidP="00102FFE">
            <w:pPr>
              <w:jc w:val="center"/>
              <w:rPr>
                <w:b/>
              </w:rPr>
            </w:pPr>
            <w:r w:rsidRPr="00497C2C">
              <w:rPr>
                <w:b/>
              </w:rPr>
              <w:t>MPWRM QA Core</w:t>
            </w:r>
          </w:p>
        </w:tc>
      </w:tr>
      <w:tr w:rsidR="00102FFE" w14:paraId="4615EEA9" w14:textId="77777777" w:rsidTr="005726E9">
        <w:tc>
          <w:tcPr>
            <w:tcW w:w="2610" w:type="dxa"/>
            <w:vAlign w:val="center"/>
          </w:tcPr>
          <w:p w14:paraId="52B068B8" w14:textId="77777777" w:rsidR="00102FFE" w:rsidRDefault="00837648">
            <w:r>
              <w:t>Well Documented Study</w:t>
            </w:r>
          </w:p>
        </w:tc>
        <w:tc>
          <w:tcPr>
            <w:tcW w:w="9540" w:type="dxa"/>
          </w:tcPr>
          <w:p w14:paraId="54AE49A9" w14:textId="77777777" w:rsidR="00102FFE" w:rsidRDefault="00210A46">
            <w:r>
              <w:t xml:space="preserve">Study supported by </w:t>
            </w:r>
            <w:r w:rsidRPr="00497C2C">
              <w:rPr>
                <w:b/>
              </w:rPr>
              <w:t xml:space="preserve">ALCOA </w:t>
            </w:r>
            <w:r>
              <w:t xml:space="preserve">required elements of traceability  through the documentation of </w:t>
            </w:r>
            <w:r w:rsidR="008B084C">
              <w:t>what was done, when it was done  and by whom</w:t>
            </w:r>
            <w:r w:rsidR="00D5138F">
              <w:t xml:space="preserve">. </w:t>
            </w:r>
          </w:p>
        </w:tc>
        <w:tc>
          <w:tcPr>
            <w:tcW w:w="1922" w:type="dxa"/>
            <w:vAlign w:val="center"/>
          </w:tcPr>
          <w:p w14:paraId="3D4CCB09" w14:textId="77777777" w:rsidR="00102FFE" w:rsidRPr="00102FFE" w:rsidRDefault="00497C2C" w:rsidP="00102FFE">
            <w:pPr>
              <w:jc w:val="center"/>
              <w:rPr>
                <w:b/>
              </w:rPr>
            </w:pPr>
            <w:r w:rsidRPr="00497C2C">
              <w:rPr>
                <w:b/>
              </w:rPr>
              <w:t>MPWRM QA Core</w:t>
            </w:r>
          </w:p>
        </w:tc>
      </w:tr>
      <w:tr w:rsidR="00102FFE" w14:paraId="6D4188BB" w14:textId="77777777" w:rsidTr="005726E9">
        <w:tc>
          <w:tcPr>
            <w:tcW w:w="2610" w:type="dxa"/>
            <w:vAlign w:val="center"/>
          </w:tcPr>
          <w:p w14:paraId="5271B3CB" w14:textId="77777777" w:rsidR="00102FFE" w:rsidRDefault="00102FFE"/>
        </w:tc>
        <w:tc>
          <w:tcPr>
            <w:tcW w:w="9540" w:type="dxa"/>
          </w:tcPr>
          <w:p w14:paraId="6F0B49E3" w14:textId="77777777" w:rsidR="00102FFE" w:rsidRPr="0075037A" w:rsidRDefault="00102FFE">
            <w:pPr>
              <w:rPr>
                <w:rFonts w:cstheme="minorHAnsi"/>
                <w:sz w:val="24"/>
                <w:szCs w:val="24"/>
              </w:rPr>
            </w:pPr>
          </w:p>
        </w:tc>
        <w:tc>
          <w:tcPr>
            <w:tcW w:w="1922" w:type="dxa"/>
            <w:vAlign w:val="center"/>
          </w:tcPr>
          <w:p w14:paraId="1F1E6CD2" w14:textId="77777777" w:rsidR="00102FFE" w:rsidRPr="00102FFE" w:rsidRDefault="00102FFE" w:rsidP="00102FFE">
            <w:pPr>
              <w:jc w:val="center"/>
              <w:rPr>
                <w:b/>
              </w:rPr>
            </w:pPr>
          </w:p>
        </w:tc>
      </w:tr>
    </w:tbl>
    <w:p w14:paraId="062762FA" w14:textId="77777777" w:rsidR="004E01E3" w:rsidRDefault="004E01E3"/>
    <w:sectPr w:rsidR="004E01E3" w:rsidSect="005600D2">
      <w:footerReference w:type="default" r:id="rId10"/>
      <w:headerReference w:type="first" r:id="rId11"/>
      <w:footerReference w:type="first" r:id="rId12"/>
      <w:pgSz w:w="15840" w:h="12240" w:orient="landscape"/>
      <w:pgMar w:top="1440" w:right="1440" w:bottom="1350" w:left="1440" w:header="360" w:footer="4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E01C7" w14:textId="77777777" w:rsidR="009A1397" w:rsidRDefault="009A1397" w:rsidP="00906DAF">
      <w:pPr>
        <w:spacing w:after="0" w:line="240" w:lineRule="auto"/>
      </w:pPr>
      <w:r>
        <w:separator/>
      </w:r>
    </w:p>
  </w:endnote>
  <w:endnote w:type="continuationSeparator" w:id="0">
    <w:p w14:paraId="2C0F1B41" w14:textId="77777777" w:rsidR="009A1397" w:rsidRDefault="009A1397" w:rsidP="00906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Flama Book">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91901460"/>
      <w:docPartObj>
        <w:docPartGallery w:val="Page Numbers (Bottom of Page)"/>
        <w:docPartUnique/>
      </w:docPartObj>
    </w:sdtPr>
    <w:sdtEndPr/>
    <w:sdtContent>
      <w:sdt>
        <w:sdtPr>
          <w:id w:val="114020638"/>
          <w:docPartObj>
            <w:docPartGallery w:val="Page Numbers (Top of Page)"/>
            <w:docPartUnique/>
          </w:docPartObj>
        </w:sdtPr>
        <w:sdtEndPr/>
        <w:sdtContent>
          <w:p w14:paraId="2EF5D3EB" w14:textId="77777777" w:rsidR="00374D18" w:rsidRPr="00A279AD" w:rsidRDefault="00374D18" w:rsidP="00A279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342C">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342C">
              <w:rPr>
                <w:b/>
                <w:bCs/>
                <w:noProof/>
              </w:rPr>
              <w:t>5</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3099523"/>
      <w:docPartObj>
        <w:docPartGallery w:val="Page Numbers (Bottom of Page)"/>
        <w:docPartUnique/>
      </w:docPartObj>
    </w:sdtPr>
    <w:sdtEndPr/>
    <w:sdtContent>
      <w:sdt>
        <w:sdtPr>
          <w:id w:val="-911772811"/>
          <w:docPartObj>
            <w:docPartGallery w:val="Page Numbers (Top of Page)"/>
            <w:docPartUnique/>
          </w:docPartObj>
        </w:sdtPr>
        <w:sdtEndPr/>
        <w:sdtContent>
          <w:p w14:paraId="6FD4677E" w14:textId="77777777" w:rsidR="00374D18" w:rsidRDefault="00374D18">
            <w:pPr>
              <w:pStyle w:val="Footer"/>
              <w:jc w:val="center"/>
            </w:pPr>
          </w:p>
          <w:p w14:paraId="4293341A" w14:textId="77777777" w:rsidR="00374D18" w:rsidRPr="00374D18" w:rsidRDefault="00374D18" w:rsidP="00374D18">
            <w:pPr>
              <w:spacing w:after="0"/>
              <w:rPr>
                <w:rFonts w:ascii="Arial" w:hAnsi="Arial" w:cs="Arial"/>
                <w:i/>
                <w:sz w:val="18"/>
                <w:szCs w:val="18"/>
              </w:rPr>
            </w:pPr>
            <w:r>
              <w:t xml:space="preserve">Prepared by: </w:t>
            </w:r>
            <w:r>
              <w:tab/>
            </w:r>
          </w:p>
          <w:p w14:paraId="24428F81" w14:textId="77777777" w:rsidR="00A279AD" w:rsidRDefault="00374D18" w:rsidP="00A279AD">
            <w:pPr>
              <w:spacing w:after="0"/>
              <w:rPr>
                <w:rFonts w:ascii="Arial" w:hAnsi="Arial" w:cs="Arial"/>
                <w:i/>
                <w:sz w:val="18"/>
                <w:szCs w:val="18"/>
              </w:rPr>
            </w:pPr>
            <w:r w:rsidRPr="00374D18">
              <w:rPr>
                <w:rFonts w:ascii="Arial" w:hAnsi="Arial" w:cs="Arial"/>
                <w:color w:val="1F497D"/>
                <w:sz w:val="18"/>
                <w:szCs w:val="18"/>
              </w:rPr>
              <w:tab/>
            </w:r>
            <w:r w:rsidRPr="00374D18">
              <w:rPr>
                <w:rFonts w:ascii="Arial" w:hAnsi="Arial" w:cs="Arial"/>
                <w:color w:val="1F497D"/>
                <w:sz w:val="18"/>
                <w:szCs w:val="18"/>
              </w:rPr>
              <w:tab/>
            </w:r>
            <w:r w:rsidR="00A279AD" w:rsidRPr="00374D18">
              <w:rPr>
                <w:rFonts w:ascii="Arial" w:hAnsi="Arial" w:cs="Arial"/>
                <w:color w:val="1F497D"/>
                <w:sz w:val="18"/>
                <w:szCs w:val="18"/>
              </w:rPr>
              <w:t xml:space="preserve">Shawn Bengtson, RQAP-GLP </w:t>
            </w:r>
            <w:r w:rsidR="00A279AD" w:rsidRPr="00374D18">
              <w:rPr>
                <w:rFonts w:ascii="Arial" w:hAnsi="Arial" w:cs="Arial"/>
                <w:i/>
                <w:sz w:val="18"/>
                <w:szCs w:val="18"/>
              </w:rPr>
              <w:t>University of Pittsburgh, McGowan Institute (MPWRM QA Core)</w:t>
            </w:r>
          </w:p>
          <w:p w14:paraId="28881B56" w14:textId="77777777" w:rsidR="00A279AD" w:rsidRPr="00A279AD" w:rsidRDefault="00A279AD" w:rsidP="00A279AD">
            <w:pPr>
              <w:spacing w:after="0"/>
              <w:ind w:left="720" w:firstLine="720"/>
              <w:rPr>
                <w:rFonts w:ascii="Arial" w:hAnsi="Arial" w:cs="Arial"/>
                <w:i/>
                <w:sz w:val="18"/>
                <w:szCs w:val="18"/>
              </w:rPr>
            </w:pPr>
            <w:r>
              <w:rPr>
                <w:rFonts w:ascii="Arial" w:hAnsi="Arial" w:cs="Arial"/>
                <w:color w:val="1F497D"/>
                <w:sz w:val="18"/>
                <w:szCs w:val="18"/>
              </w:rPr>
              <w:t xml:space="preserve">Courtney Euker, BS, </w:t>
            </w:r>
            <w:r w:rsidRPr="00374D18">
              <w:rPr>
                <w:rFonts w:ascii="Arial" w:hAnsi="Arial" w:cs="Arial"/>
                <w:i/>
                <w:sz w:val="18"/>
                <w:szCs w:val="18"/>
              </w:rPr>
              <w:t>University of Pittsburgh, McGowan Institute (MPWRM QA Core)</w:t>
            </w:r>
          </w:p>
          <w:p w14:paraId="088D730F" w14:textId="77777777" w:rsidR="00374D18" w:rsidRPr="00374D18" w:rsidRDefault="00374D18" w:rsidP="00A279AD">
            <w:pPr>
              <w:spacing w:after="0"/>
              <w:ind w:left="720" w:firstLine="720"/>
              <w:rPr>
                <w:rFonts w:ascii="Arial" w:hAnsi="Arial" w:cs="Arial"/>
                <w:color w:val="5F5F5F"/>
                <w:sz w:val="18"/>
                <w:szCs w:val="18"/>
              </w:rPr>
            </w:pPr>
            <w:r w:rsidRPr="00374D18">
              <w:rPr>
                <w:rFonts w:ascii="Arial" w:hAnsi="Arial" w:cs="Arial"/>
                <w:color w:val="1F497D"/>
                <w:sz w:val="18"/>
                <w:szCs w:val="18"/>
              </w:rPr>
              <w:t xml:space="preserve">Melissa Eitzen, MS, RQAP-GLP, MT(ASCP) </w:t>
            </w:r>
            <w:r w:rsidRPr="00374D18">
              <w:rPr>
                <w:rFonts w:ascii="Arial" w:hAnsi="Arial" w:cs="Arial"/>
                <w:i/>
                <w:sz w:val="18"/>
                <w:szCs w:val="18"/>
              </w:rPr>
              <w:t>University of Texas Medical Branch at Galveston (MPWRM QA Core)</w:t>
            </w:r>
          </w:p>
          <w:p w14:paraId="3583BE7F" w14:textId="77777777" w:rsidR="00374D18" w:rsidRPr="00A279AD" w:rsidRDefault="00374D18" w:rsidP="00374D18">
            <w:pPr>
              <w:spacing w:after="0"/>
              <w:rPr>
                <w:rFonts w:ascii="Arial" w:hAnsi="Arial" w:cs="Arial"/>
                <w:color w:val="1F497D"/>
                <w:sz w:val="18"/>
                <w:szCs w:val="18"/>
              </w:rPr>
            </w:pPr>
            <w:r w:rsidRPr="00374D18">
              <w:rPr>
                <w:rFonts w:ascii="Arial" w:hAnsi="Arial" w:cs="Arial"/>
                <w:color w:val="1F497D"/>
                <w:sz w:val="18"/>
                <w:szCs w:val="18"/>
              </w:rPr>
              <w:tab/>
            </w:r>
            <w:r w:rsidRPr="00374D18">
              <w:rPr>
                <w:rFonts w:ascii="Arial" w:hAnsi="Arial" w:cs="Arial"/>
                <w:color w:val="1F497D"/>
                <w:sz w:val="18"/>
                <w:szCs w:val="18"/>
              </w:rPr>
              <w:tab/>
              <w:t xml:space="preserve">Michael Jamieson, DRSc </w:t>
            </w:r>
            <w:r w:rsidRPr="00374D18">
              <w:rPr>
                <w:rFonts w:ascii="Arial" w:hAnsi="Arial" w:cs="Arial"/>
                <w:i/>
                <w:sz w:val="18"/>
                <w:szCs w:val="18"/>
              </w:rPr>
              <w:t>(MPWRM QA Core)</w:t>
            </w:r>
          </w:p>
          <w:p w14:paraId="1A2FE2E2" w14:textId="77777777" w:rsidR="00A279AD" w:rsidRPr="00374D18" w:rsidRDefault="00A279AD" w:rsidP="00A279AD">
            <w:pPr>
              <w:spacing w:after="0"/>
              <w:ind w:left="720" w:firstLine="720"/>
              <w:rPr>
                <w:rFonts w:ascii="Arial" w:hAnsi="Arial" w:cs="Arial"/>
                <w:i/>
                <w:sz w:val="18"/>
                <w:szCs w:val="18"/>
              </w:rPr>
            </w:pPr>
            <w:r w:rsidRPr="00374D18">
              <w:rPr>
                <w:rFonts w:ascii="Arial" w:hAnsi="Arial" w:cs="Arial"/>
                <w:color w:val="1F497D"/>
                <w:sz w:val="18"/>
                <w:szCs w:val="18"/>
              </w:rPr>
              <w:t xml:space="preserve">Jeanne Wright, RN, BSN, RAC </w:t>
            </w:r>
            <w:r w:rsidRPr="00374D18">
              <w:rPr>
                <w:rFonts w:ascii="Arial" w:hAnsi="Arial" w:cs="Arial"/>
                <w:i/>
                <w:sz w:val="18"/>
                <w:szCs w:val="18"/>
              </w:rPr>
              <w:t>University of Michigan  (MPWRM Regulatory Core)</w:t>
            </w:r>
          </w:p>
          <w:p w14:paraId="3A1FBC49" w14:textId="77777777" w:rsidR="00374D18" w:rsidRDefault="00374D18" w:rsidP="00A279AD">
            <w:pPr>
              <w:pStyle w:val="Footer"/>
            </w:pPr>
          </w:p>
          <w:p w14:paraId="6E872198" w14:textId="77777777" w:rsidR="00374D18" w:rsidRDefault="00374D18" w:rsidP="00A279AD">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B342C">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B342C">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B094C6" w14:textId="77777777" w:rsidR="009A1397" w:rsidRDefault="009A1397" w:rsidP="00906DAF">
      <w:pPr>
        <w:spacing w:after="0" w:line="240" w:lineRule="auto"/>
      </w:pPr>
      <w:r>
        <w:separator/>
      </w:r>
    </w:p>
  </w:footnote>
  <w:footnote w:type="continuationSeparator" w:id="0">
    <w:p w14:paraId="4757525A" w14:textId="77777777" w:rsidR="009A1397" w:rsidRDefault="009A1397" w:rsidP="00906D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2FF7A" w14:textId="77777777" w:rsidR="00A279AD" w:rsidRDefault="00A279AD" w:rsidP="00A279AD">
    <w:pPr>
      <w:pStyle w:val="Header"/>
      <w:ind w:hanging="1170"/>
    </w:pPr>
    <w:r>
      <w:rPr>
        <w:rFonts w:ascii="Corbel" w:hAnsi="Corbel" w:cs="Arial"/>
        <w:b/>
        <w:noProof/>
        <w:sz w:val="32"/>
        <w:szCs w:val="32"/>
      </w:rPr>
      <w:drawing>
        <wp:inline distT="0" distB="0" distL="0" distR="0" wp14:anchorId="34D389D0" wp14:editId="325AC54F">
          <wp:extent cx="3363791" cy="744717"/>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35836" cy="78280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76A57"/>
    <w:multiLevelType w:val="multilevel"/>
    <w:tmpl w:val="E4B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F916D4"/>
    <w:multiLevelType w:val="hybridMultilevel"/>
    <w:tmpl w:val="CAAC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E2FFC"/>
    <w:multiLevelType w:val="hybridMultilevel"/>
    <w:tmpl w:val="13CAA20A"/>
    <w:lvl w:ilvl="0" w:tplc="04090001">
      <w:start w:val="1"/>
      <w:numFmt w:val="bullet"/>
      <w:lvlText w:val=""/>
      <w:lvlJc w:val="left"/>
      <w:pPr>
        <w:ind w:left="1156" w:hanging="360"/>
      </w:pPr>
      <w:rPr>
        <w:rFonts w:ascii="Symbol" w:hAnsi="Symbol" w:hint="default"/>
      </w:rPr>
    </w:lvl>
    <w:lvl w:ilvl="1" w:tplc="04090003" w:tentative="1">
      <w:start w:val="1"/>
      <w:numFmt w:val="bullet"/>
      <w:lvlText w:val="o"/>
      <w:lvlJc w:val="left"/>
      <w:pPr>
        <w:ind w:left="1876" w:hanging="360"/>
      </w:pPr>
      <w:rPr>
        <w:rFonts w:ascii="Courier New" w:hAnsi="Courier New" w:cs="Courier New" w:hint="default"/>
      </w:rPr>
    </w:lvl>
    <w:lvl w:ilvl="2" w:tplc="04090005" w:tentative="1">
      <w:start w:val="1"/>
      <w:numFmt w:val="bullet"/>
      <w:lvlText w:val=""/>
      <w:lvlJc w:val="left"/>
      <w:pPr>
        <w:ind w:left="2596" w:hanging="360"/>
      </w:pPr>
      <w:rPr>
        <w:rFonts w:ascii="Wingdings" w:hAnsi="Wingdings" w:hint="default"/>
      </w:rPr>
    </w:lvl>
    <w:lvl w:ilvl="3" w:tplc="04090001" w:tentative="1">
      <w:start w:val="1"/>
      <w:numFmt w:val="bullet"/>
      <w:lvlText w:val=""/>
      <w:lvlJc w:val="left"/>
      <w:pPr>
        <w:ind w:left="3316" w:hanging="360"/>
      </w:pPr>
      <w:rPr>
        <w:rFonts w:ascii="Symbol" w:hAnsi="Symbol" w:hint="default"/>
      </w:rPr>
    </w:lvl>
    <w:lvl w:ilvl="4" w:tplc="04090003" w:tentative="1">
      <w:start w:val="1"/>
      <w:numFmt w:val="bullet"/>
      <w:lvlText w:val="o"/>
      <w:lvlJc w:val="left"/>
      <w:pPr>
        <w:ind w:left="4036" w:hanging="360"/>
      </w:pPr>
      <w:rPr>
        <w:rFonts w:ascii="Courier New" w:hAnsi="Courier New" w:cs="Courier New" w:hint="default"/>
      </w:rPr>
    </w:lvl>
    <w:lvl w:ilvl="5" w:tplc="04090005" w:tentative="1">
      <w:start w:val="1"/>
      <w:numFmt w:val="bullet"/>
      <w:lvlText w:val=""/>
      <w:lvlJc w:val="left"/>
      <w:pPr>
        <w:ind w:left="4756" w:hanging="360"/>
      </w:pPr>
      <w:rPr>
        <w:rFonts w:ascii="Wingdings" w:hAnsi="Wingdings" w:hint="default"/>
      </w:rPr>
    </w:lvl>
    <w:lvl w:ilvl="6" w:tplc="04090001" w:tentative="1">
      <w:start w:val="1"/>
      <w:numFmt w:val="bullet"/>
      <w:lvlText w:val=""/>
      <w:lvlJc w:val="left"/>
      <w:pPr>
        <w:ind w:left="5476" w:hanging="360"/>
      </w:pPr>
      <w:rPr>
        <w:rFonts w:ascii="Symbol" w:hAnsi="Symbol" w:hint="default"/>
      </w:rPr>
    </w:lvl>
    <w:lvl w:ilvl="7" w:tplc="04090003" w:tentative="1">
      <w:start w:val="1"/>
      <w:numFmt w:val="bullet"/>
      <w:lvlText w:val="o"/>
      <w:lvlJc w:val="left"/>
      <w:pPr>
        <w:ind w:left="6196" w:hanging="360"/>
      </w:pPr>
      <w:rPr>
        <w:rFonts w:ascii="Courier New" w:hAnsi="Courier New" w:cs="Courier New" w:hint="default"/>
      </w:rPr>
    </w:lvl>
    <w:lvl w:ilvl="8" w:tplc="04090005" w:tentative="1">
      <w:start w:val="1"/>
      <w:numFmt w:val="bullet"/>
      <w:lvlText w:val=""/>
      <w:lvlJc w:val="left"/>
      <w:pPr>
        <w:ind w:left="6916" w:hanging="360"/>
      </w:pPr>
      <w:rPr>
        <w:rFonts w:ascii="Wingdings" w:hAnsi="Wingdings" w:hint="default"/>
      </w:rPr>
    </w:lvl>
  </w:abstractNum>
  <w:abstractNum w:abstractNumId="3" w15:restartNumberingAfterBreak="0">
    <w:nsid w:val="29B95558"/>
    <w:multiLevelType w:val="hybridMultilevel"/>
    <w:tmpl w:val="EF2E7B7C"/>
    <w:lvl w:ilvl="0" w:tplc="04090001">
      <w:start w:val="1"/>
      <w:numFmt w:val="bullet"/>
      <w:lvlText w:val=""/>
      <w:lvlJc w:val="left"/>
      <w:pPr>
        <w:ind w:left="1516" w:hanging="360"/>
      </w:pPr>
      <w:rPr>
        <w:rFonts w:ascii="Symbol" w:hAnsi="Symbol"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4" w15:restartNumberingAfterBreak="0">
    <w:nsid w:val="383623A1"/>
    <w:multiLevelType w:val="multilevel"/>
    <w:tmpl w:val="3D847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F8595A"/>
    <w:multiLevelType w:val="hybridMultilevel"/>
    <w:tmpl w:val="F2ECC84A"/>
    <w:lvl w:ilvl="0" w:tplc="4C92DC02">
      <w:start w:val="1"/>
      <w:numFmt w:val="bullet"/>
      <w:lvlText w:val=""/>
      <w:lvlJc w:val="left"/>
      <w:pPr>
        <w:ind w:left="1516" w:hanging="360"/>
      </w:pPr>
      <w:rPr>
        <w:rFonts w:asciiTheme="minorHAnsi" w:hAnsiTheme="minorHAnsi" w:cstheme="minorHAnsi" w:hint="default"/>
      </w:rPr>
    </w:lvl>
    <w:lvl w:ilvl="1" w:tplc="04090003" w:tentative="1">
      <w:start w:val="1"/>
      <w:numFmt w:val="bullet"/>
      <w:lvlText w:val="o"/>
      <w:lvlJc w:val="left"/>
      <w:pPr>
        <w:ind w:left="2236" w:hanging="360"/>
      </w:pPr>
      <w:rPr>
        <w:rFonts w:ascii="Courier New" w:hAnsi="Courier New" w:cs="Courier New" w:hint="default"/>
      </w:rPr>
    </w:lvl>
    <w:lvl w:ilvl="2" w:tplc="04090005" w:tentative="1">
      <w:start w:val="1"/>
      <w:numFmt w:val="bullet"/>
      <w:lvlText w:val=""/>
      <w:lvlJc w:val="left"/>
      <w:pPr>
        <w:ind w:left="2956" w:hanging="360"/>
      </w:pPr>
      <w:rPr>
        <w:rFonts w:ascii="Wingdings" w:hAnsi="Wingdings" w:hint="default"/>
      </w:rPr>
    </w:lvl>
    <w:lvl w:ilvl="3" w:tplc="04090001" w:tentative="1">
      <w:start w:val="1"/>
      <w:numFmt w:val="bullet"/>
      <w:lvlText w:val=""/>
      <w:lvlJc w:val="left"/>
      <w:pPr>
        <w:ind w:left="3676" w:hanging="360"/>
      </w:pPr>
      <w:rPr>
        <w:rFonts w:ascii="Symbol" w:hAnsi="Symbol" w:hint="default"/>
      </w:rPr>
    </w:lvl>
    <w:lvl w:ilvl="4" w:tplc="04090003" w:tentative="1">
      <w:start w:val="1"/>
      <w:numFmt w:val="bullet"/>
      <w:lvlText w:val="o"/>
      <w:lvlJc w:val="left"/>
      <w:pPr>
        <w:ind w:left="4396" w:hanging="360"/>
      </w:pPr>
      <w:rPr>
        <w:rFonts w:ascii="Courier New" w:hAnsi="Courier New" w:cs="Courier New" w:hint="default"/>
      </w:rPr>
    </w:lvl>
    <w:lvl w:ilvl="5" w:tplc="04090005" w:tentative="1">
      <w:start w:val="1"/>
      <w:numFmt w:val="bullet"/>
      <w:lvlText w:val=""/>
      <w:lvlJc w:val="left"/>
      <w:pPr>
        <w:ind w:left="5116" w:hanging="360"/>
      </w:pPr>
      <w:rPr>
        <w:rFonts w:ascii="Wingdings" w:hAnsi="Wingdings" w:hint="default"/>
      </w:rPr>
    </w:lvl>
    <w:lvl w:ilvl="6" w:tplc="04090001" w:tentative="1">
      <w:start w:val="1"/>
      <w:numFmt w:val="bullet"/>
      <w:lvlText w:val=""/>
      <w:lvlJc w:val="left"/>
      <w:pPr>
        <w:ind w:left="5836" w:hanging="360"/>
      </w:pPr>
      <w:rPr>
        <w:rFonts w:ascii="Symbol" w:hAnsi="Symbol" w:hint="default"/>
      </w:rPr>
    </w:lvl>
    <w:lvl w:ilvl="7" w:tplc="04090003" w:tentative="1">
      <w:start w:val="1"/>
      <w:numFmt w:val="bullet"/>
      <w:lvlText w:val="o"/>
      <w:lvlJc w:val="left"/>
      <w:pPr>
        <w:ind w:left="6556" w:hanging="360"/>
      </w:pPr>
      <w:rPr>
        <w:rFonts w:ascii="Courier New" w:hAnsi="Courier New" w:cs="Courier New" w:hint="default"/>
      </w:rPr>
    </w:lvl>
    <w:lvl w:ilvl="8" w:tplc="04090005" w:tentative="1">
      <w:start w:val="1"/>
      <w:numFmt w:val="bullet"/>
      <w:lvlText w:val=""/>
      <w:lvlJc w:val="left"/>
      <w:pPr>
        <w:ind w:left="7276" w:hanging="360"/>
      </w:pPr>
      <w:rPr>
        <w:rFonts w:ascii="Wingdings" w:hAnsi="Wingdings" w:hint="default"/>
      </w:rPr>
    </w:lvl>
  </w:abstractNum>
  <w:abstractNum w:abstractNumId="6" w15:restartNumberingAfterBreak="0">
    <w:nsid w:val="40176708"/>
    <w:multiLevelType w:val="multilevel"/>
    <w:tmpl w:val="E4B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AC2A28"/>
    <w:multiLevelType w:val="multilevel"/>
    <w:tmpl w:val="1C4CD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9A5587D"/>
    <w:multiLevelType w:val="multilevel"/>
    <w:tmpl w:val="E4B0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3"/>
  </w:num>
  <w:num w:numId="4">
    <w:abstractNumId w:val="4"/>
  </w:num>
  <w:num w:numId="5">
    <w:abstractNumId w:val="6"/>
  </w:num>
  <w:num w:numId="6">
    <w:abstractNumId w:val="7"/>
  </w:num>
  <w:num w:numId="7">
    <w:abstractNumId w:val="0"/>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FFE"/>
    <w:rsid w:val="0001324F"/>
    <w:rsid w:val="0002310F"/>
    <w:rsid w:val="000469C8"/>
    <w:rsid w:val="00090DE1"/>
    <w:rsid w:val="000D3DE1"/>
    <w:rsid w:val="00102FFE"/>
    <w:rsid w:val="00142D1E"/>
    <w:rsid w:val="001C641C"/>
    <w:rsid w:val="00205C3A"/>
    <w:rsid w:val="00210A46"/>
    <w:rsid w:val="002472D0"/>
    <w:rsid w:val="0025145B"/>
    <w:rsid w:val="003212B0"/>
    <w:rsid w:val="00345737"/>
    <w:rsid w:val="00360FE7"/>
    <w:rsid w:val="00374D18"/>
    <w:rsid w:val="003E1293"/>
    <w:rsid w:val="00440C6E"/>
    <w:rsid w:val="00443E38"/>
    <w:rsid w:val="00472E52"/>
    <w:rsid w:val="00476843"/>
    <w:rsid w:val="00497C2C"/>
    <w:rsid w:val="004A3020"/>
    <w:rsid w:val="004B1C98"/>
    <w:rsid w:val="004E01E3"/>
    <w:rsid w:val="004E375D"/>
    <w:rsid w:val="005600D2"/>
    <w:rsid w:val="005726E9"/>
    <w:rsid w:val="00593674"/>
    <w:rsid w:val="00596419"/>
    <w:rsid w:val="005C2D17"/>
    <w:rsid w:val="00633A00"/>
    <w:rsid w:val="00670D29"/>
    <w:rsid w:val="006C0935"/>
    <w:rsid w:val="00732DC9"/>
    <w:rsid w:val="0075037A"/>
    <w:rsid w:val="00753976"/>
    <w:rsid w:val="00777083"/>
    <w:rsid w:val="00833F75"/>
    <w:rsid w:val="00837648"/>
    <w:rsid w:val="008B084C"/>
    <w:rsid w:val="008B1358"/>
    <w:rsid w:val="008C266C"/>
    <w:rsid w:val="00906DAF"/>
    <w:rsid w:val="009A1397"/>
    <w:rsid w:val="009A4390"/>
    <w:rsid w:val="009A4F4A"/>
    <w:rsid w:val="00A02BEB"/>
    <w:rsid w:val="00A279AD"/>
    <w:rsid w:val="00A7161A"/>
    <w:rsid w:val="00AC4F83"/>
    <w:rsid w:val="00AF3D7A"/>
    <w:rsid w:val="00AF3DED"/>
    <w:rsid w:val="00BD19BE"/>
    <w:rsid w:val="00BD2CAE"/>
    <w:rsid w:val="00BD729E"/>
    <w:rsid w:val="00BE1F69"/>
    <w:rsid w:val="00C118C1"/>
    <w:rsid w:val="00C230DE"/>
    <w:rsid w:val="00C30961"/>
    <w:rsid w:val="00C467B5"/>
    <w:rsid w:val="00C83B06"/>
    <w:rsid w:val="00C84040"/>
    <w:rsid w:val="00C91778"/>
    <w:rsid w:val="00D22D53"/>
    <w:rsid w:val="00D40A9F"/>
    <w:rsid w:val="00D5138F"/>
    <w:rsid w:val="00DA74AF"/>
    <w:rsid w:val="00DB342C"/>
    <w:rsid w:val="00DE04A5"/>
    <w:rsid w:val="00E1391D"/>
    <w:rsid w:val="00EB4508"/>
    <w:rsid w:val="00F713CB"/>
    <w:rsid w:val="00F8472A"/>
    <w:rsid w:val="00FA1749"/>
    <w:rsid w:val="00FD2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B0622F"/>
  <w15:chartTrackingRefBased/>
  <w15:docId w15:val="{17F282D3-E6BF-488C-B597-BB4CCC582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02F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02FFE"/>
    <w:pPr>
      <w:autoSpaceDE w:val="0"/>
      <w:autoSpaceDN w:val="0"/>
      <w:adjustRightInd w:val="0"/>
      <w:spacing w:after="0" w:line="240" w:lineRule="auto"/>
    </w:pPr>
    <w:rPr>
      <w:rFonts w:ascii="Arial" w:hAnsi="Arial" w:cs="Arial"/>
      <w:color w:val="000000"/>
      <w:sz w:val="24"/>
      <w:szCs w:val="24"/>
    </w:rPr>
  </w:style>
  <w:style w:type="character" w:customStyle="1" w:styleId="e24kjd">
    <w:name w:val="e24kjd"/>
    <w:basedOn w:val="DefaultParagraphFont"/>
    <w:rsid w:val="00472E52"/>
  </w:style>
  <w:style w:type="paragraph" w:styleId="NormalWeb">
    <w:name w:val="Normal (Web)"/>
    <w:basedOn w:val="Normal"/>
    <w:uiPriority w:val="99"/>
    <w:semiHidden/>
    <w:unhideWhenUsed/>
    <w:rsid w:val="00670D29"/>
    <w:pPr>
      <w:spacing w:after="100" w:afterAutospacing="1" w:line="330" w:lineRule="atLeast"/>
    </w:pPr>
    <w:rPr>
      <w:rFonts w:ascii="Flama Book" w:eastAsia="Times New Roman" w:hAnsi="Flama Book" w:cs="Times New Roman"/>
      <w:sz w:val="24"/>
      <w:szCs w:val="24"/>
    </w:rPr>
  </w:style>
  <w:style w:type="character" w:styleId="CommentReference">
    <w:name w:val="annotation reference"/>
    <w:basedOn w:val="DefaultParagraphFont"/>
    <w:uiPriority w:val="99"/>
    <w:semiHidden/>
    <w:unhideWhenUsed/>
    <w:rsid w:val="00C83B06"/>
    <w:rPr>
      <w:sz w:val="16"/>
      <w:szCs w:val="16"/>
    </w:rPr>
  </w:style>
  <w:style w:type="paragraph" w:styleId="CommentText">
    <w:name w:val="annotation text"/>
    <w:basedOn w:val="Normal"/>
    <w:link w:val="CommentTextChar"/>
    <w:uiPriority w:val="99"/>
    <w:semiHidden/>
    <w:unhideWhenUsed/>
    <w:rsid w:val="00C83B06"/>
    <w:pPr>
      <w:spacing w:line="240" w:lineRule="auto"/>
    </w:pPr>
    <w:rPr>
      <w:sz w:val="20"/>
      <w:szCs w:val="20"/>
    </w:rPr>
  </w:style>
  <w:style w:type="character" w:customStyle="1" w:styleId="CommentTextChar">
    <w:name w:val="Comment Text Char"/>
    <w:basedOn w:val="DefaultParagraphFont"/>
    <w:link w:val="CommentText"/>
    <w:uiPriority w:val="99"/>
    <w:semiHidden/>
    <w:rsid w:val="00C83B06"/>
    <w:rPr>
      <w:sz w:val="20"/>
      <w:szCs w:val="20"/>
    </w:rPr>
  </w:style>
  <w:style w:type="paragraph" w:styleId="CommentSubject">
    <w:name w:val="annotation subject"/>
    <w:basedOn w:val="CommentText"/>
    <w:next w:val="CommentText"/>
    <w:link w:val="CommentSubjectChar"/>
    <w:uiPriority w:val="99"/>
    <w:semiHidden/>
    <w:unhideWhenUsed/>
    <w:rsid w:val="00C83B06"/>
    <w:rPr>
      <w:b/>
      <w:bCs/>
    </w:rPr>
  </w:style>
  <w:style w:type="character" w:customStyle="1" w:styleId="CommentSubjectChar">
    <w:name w:val="Comment Subject Char"/>
    <w:basedOn w:val="CommentTextChar"/>
    <w:link w:val="CommentSubject"/>
    <w:uiPriority w:val="99"/>
    <w:semiHidden/>
    <w:rsid w:val="00C83B06"/>
    <w:rPr>
      <w:b/>
      <w:bCs/>
      <w:sz w:val="20"/>
      <w:szCs w:val="20"/>
    </w:rPr>
  </w:style>
  <w:style w:type="paragraph" w:styleId="BalloonText">
    <w:name w:val="Balloon Text"/>
    <w:basedOn w:val="Normal"/>
    <w:link w:val="BalloonTextChar"/>
    <w:uiPriority w:val="99"/>
    <w:semiHidden/>
    <w:unhideWhenUsed/>
    <w:rsid w:val="00C83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B06"/>
    <w:rPr>
      <w:rFonts w:ascii="Segoe UI" w:hAnsi="Segoe UI" w:cs="Segoe UI"/>
      <w:sz w:val="18"/>
      <w:szCs w:val="18"/>
    </w:rPr>
  </w:style>
  <w:style w:type="paragraph" w:styleId="Header">
    <w:name w:val="header"/>
    <w:basedOn w:val="Normal"/>
    <w:link w:val="HeaderChar"/>
    <w:uiPriority w:val="99"/>
    <w:unhideWhenUsed/>
    <w:rsid w:val="00906D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DAF"/>
  </w:style>
  <w:style w:type="paragraph" w:styleId="Footer">
    <w:name w:val="footer"/>
    <w:basedOn w:val="Normal"/>
    <w:link w:val="FooterChar"/>
    <w:uiPriority w:val="99"/>
    <w:unhideWhenUsed/>
    <w:rsid w:val="00906D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DAF"/>
  </w:style>
  <w:style w:type="paragraph" w:styleId="ListParagraph">
    <w:name w:val="List Paragraph"/>
    <w:basedOn w:val="Normal"/>
    <w:uiPriority w:val="34"/>
    <w:qFormat/>
    <w:rsid w:val="000469C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873379">
      <w:bodyDiv w:val="1"/>
      <w:marLeft w:val="0"/>
      <w:marRight w:val="0"/>
      <w:marTop w:val="0"/>
      <w:marBottom w:val="0"/>
      <w:divBdr>
        <w:top w:val="none" w:sz="0" w:space="0" w:color="auto"/>
        <w:left w:val="none" w:sz="0" w:space="0" w:color="auto"/>
        <w:bottom w:val="none" w:sz="0" w:space="0" w:color="auto"/>
        <w:right w:val="none" w:sz="0" w:space="0" w:color="auto"/>
      </w:divBdr>
    </w:div>
    <w:div w:id="1744790932">
      <w:bodyDiv w:val="1"/>
      <w:marLeft w:val="0"/>
      <w:marRight w:val="0"/>
      <w:marTop w:val="0"/>
      <w:marBottom w:val="0"/>
      <w:divBdr>
        <w:top w:val="none" w:sz="0" w:space="0" w:color="auto"/>
        <w:left w:val="none" w:sz="0" w:space="0" w:color="auto"/>
        <w:bottom w:val="none" w:sz="0" w:space="0" w:color="auto"/>
        <w:right w:val="none" w:sz="0" w:space="0" w:color="auto"/>
      </w:divBdr>
      <w:divsChild>
        <w:div w:id="979842024">
          <w:marLeft w:val="0"/>
          <w:marRight w:val="0"/>
          <w:marTop w:val="0"/>
          <w:marBottom w:val="0"/>
          <w:divBdr>
            <w:top w:val="none" w:sz="0" w:space="0" w:color="auto"/>
            <w:left w:val="none" w:sz="0" w:space="0" w:color="auto"/>
            <w:bottom w:val="none" w:sz="0" w:space="0" w:color="auto"/>
            <w:right w:val="none" w:sz="0" w:space="0" w:color="auto"/>
          </w:divBdr>
          <w:divsChild>
            <w:div w:id="2060353002">
              <w:marLeft w:val="0"/>
              <w:marRight w:val="0"/>
              <w:marTop w:val="0"/>
              <w:marBottom w:val="0"/>
              <w:divBdr>
                <w:top w:val="none" w:sz="0" w:space="0" w:color="auto"/>
                <w:left w:val="none" w:sz="0" w:space="0" w:color="auto"/>
                <w:bottom w:val="none" w:sz="0" w:space="0" w:color="auto"/>
                <w:right w:val="none" w:sz="0" w:space="0" w:color="auto"/>
              </w:divBdr>
              <w:divsChild>
                <w:div w:id="1184855745">
                  <w:marLeft w:val="0"/>
                  <w:marRight w:val="0"/>
                  <w:marTop w:val="0"/>
                  <w:marBottom w:val="0"/>
                  <w:divBdr>
                    <w:top w:val="none" w:sz="0" w:space="0" w:color="auto"/>
                    <w:left w:val="none" w:sz="0" w:space="0" w:color="auto"/>
                    <w:bottom w:val="none" w:sz="0" w:space="0" w:color="auto"/>
                    <w:right w:val="none" w:sz="0" w:space="0" w:color="auto"/>
                  </w:divBdr>
                  <w:divsChild>
                    <w:div w:id="970474049">
                      <w:marLeft w:val="0"/>
                      <w:marRight w:val="0"/>
                      <w:marTop w:val="0"/>
                      <w:marBottom w:val="0"/>
                      <w:divBdr>
                        <w:top w:val="none" w:sz="0" w:space="0" w:color="auto"/>
                        <w:left w:val="none" w:sz="0" w:space="0" w:color="auto"/>
                        <w:bottom w:val="none" w:sz="0" w:space="0" w:color="auto"/>
                        <w:right w:val="none" w:sz="0" w:space="0" w:color="auto"/>
                      </w:divBdr>
                      <w:divsChild>
                        <w:div w:id="1458253749">
                          <w:marLeft w:val="0"/>
                          <w:marRight w:val="0"/>
                          <w:marTop w:val="0"/>
                          <w:marBottom w:val="0"/>
                          <w:divBdr>
                            <w:top w:val="none" w:sz="0" w:space="0" w:color="auto"/>
                            <w:left w:val="none" w:sz="0" w:space="0" w:color="auto"/>
                            <w:bottom w:val="none" w:sz="0" w:space="0" w:color="auto"/>
                            <w:right w:val="none" w:sz="0" w:space="0" w:color="auto"/>
                          </w:divBdr>
                          <w:divsChild>
                            <w:div w:id="8933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0B330A2AACB94478B4CC2F39002A861" ma:contentTypeVersion="11" ma:contentTypeDescription="Create a new document." ma:contentTypeScope="" ma:versionID="1cc7d589b497d9770f485bd2d040672d">
  <xsd:schema xmlns:xsd="http://www.w3.org/2001/XMLSchema" xmlns:xs="http://www.w3.org/2001/XMLSchema" xmlns:p="http://schemas.microsoft.com/office/2006/metadata/properties" xmlns:ns1="http://schemas.microsoft.com/sharepoint/v3" xmlns:ns3="ba28866e-f5dd-4244-9a9f-5ea6ca469195" targetNamespace="http://schemas.microsoft.com/office/2006/metadata/properties" ma:root="true" ma:fieldsID="19b8d5288444cfeac5ecdb9a4262d03b" ns1:_="" ns3:_="">
    <xsd:import namespace="http://schemas.microsoft.com/sharepoint/v3"/>
    <xsd:import namespace="ba28866e-f5dd-4244-9a9f-5ea6ca4691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28866e-f5dd-4244-9a9f-5ea6ca46919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D0374CA3-DBBB-4A88-A9F6-B8143ADB0B75}">
  <ds:schemaRefs>
    <ds:schemaRef ds:uri="http://schemas.microsoft.com/sharepoint/v3/contenttype/forms"/>
  </ds:schemaRefs>
</ds:datastoreItem>
</file>

<file path=customXml/itemProps2.xml><?xml version="1.0" encoding="utf-8"?>
<ds:datastoreItem xmlns:ds="http://schemas.openxmlformats.org/officeDocument/2006/customXml" ds:itemID="{06810FB0-0516-4541-AFF9-C4FF2C04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a28866e-f5dd-4244-9a9f-5ea6ca469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7DD636-5307-4955-A702-3A46B87F1C23}">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ba28866e-f5dd-4244-9a9f-5ea6ca469195"/>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1751</Words>
  <Characters>9981</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Bengston, Shawn</dc:creator>
  <cp:keywords/>
  <dc:description/>
  <cp:lastModifiedBy>Cantini, Patrick</cp:lastModifiedBy>
  <cp:revision>2</cp:revision>
  <dcterms:created xsi:type="dcterms:W3CDTF">2019-08-28T15:09:00Z</dcterms:created>
  <dcterms:modified xsi:type="dcterms:W3CDTF">2019-08-28T15:09:00Z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0x010100B0B330A2AACB94478B4CC2F39002A861</vt:lpwstr>
  </property>
</Properties>
</file>